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3F79F">
      <w:pPr>
        <w:spacing w:before="0" w:after="0" w:line="537" w:lineRule="exact"/>
        <w:ind w:right="0"/>
        <w:jc w:val="left"/>
        <w:rPr>
          <w:rFonts w:ascii="GHUNHQ+FZXBSJW--GB1-0" w:hAnsi="GHUNHQ+FZXBSJW--GB1-0" w:cs="GHUNHQ+FZXBSJW--GB1-0" w:eastAsiaTheme="minorEastAsia"/>
          <w:color w:val="000000"/>
          <w:sz w:val="44"/>
          <w:szCs w:val="22"/>
          <w:lang w:val="en-US" w:eastAsia="en-US" w:bidi="ar-SA"/>
        </w:rPr>
      </w:pPr>
      <w:bookmarkStart w:id="0" w:name="br1_1"/>
      <w:bookmarkEnd w:id="0"/>
    </w:p>
    <w:p w14:paraId="7106993B">
      <w:pPr>
        <w:spacing w:before="0" w:after="0" w:line="537" w:lineRule="exact"/>
        <w:ind w:right="0"/>
        <w:jc w:val="left"/>
        <w:rPr>
          <w:rFonts w:ascii="GHUNHQ+FZXBSJW--GB1-0" w:hAnsi="GHUNHQ+FZXBSJW--GB1-0" w:cs="GHUNHQ+FZXBSJW--GB1-0" w:eastAsiaTheme="minorEastAsia"/>
          <w:color w:val="000000"/>
          <w:sz w:val="44"/>
          <w:szCs w:val="22"/>
          <w:lang w:val="en-US" w:eastAsia="en-US" w:bidi="ar-SA"/>
        </w:rPr>
      </w:pPr>
    </w:p>
    <w:p w14:paraId="2DAA6CA7">
      <w:pPr>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eastAsia" w:ascii="方正小标宋简体" w:hAnsi="方正小标宋简体" w:eastAsia="方正小标宋简体" w:cs="方正小标宋简体"/>
          <w:color w:val="000000"/>
          <w:sz w:val="84"/>
          <w:szCs w:val="84"/>
          <w:lang w:val="en-US" w:eastAsia="en-US" w:bidi="ar-SA"/>
        </w:rPr>
      </w:pPr>
      <w:r>
        <w:rPr>
          <w:rFonts w:hint="eastAsia" w:ascii="方正小标宋简体" w:hAnsi="方正小标宋简体" w:eastAsia="方正小标宋简体" w:cs="方正小标宋简体"/>
          <w:color w:val="000000"/>
          <w:sz w:val="84"/>
          <w:szCs w:val="84"/>
          <w:lang w:val="en-US" w:eastAsia="en-US" w:bidi="ar-SA"/>
        </w:rPr>
        <w:t>东阳市矿山事故</w:t>
      </w:r>
    </w:p>
    <w:p w14:paraId="7562E864">
      <w:pPr>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eastAsia" w:ascii="方正大标宋简体" w:hAnsi="方正大标宋简体" w:eastAsia="方正大标宋简体" w:cs="方正大标宋简体"/>
          <w:color w:val="000000"/>
          <w:sz w:val="84"/>
          <w:szCs w:val="84"/>
          <w:lang w:val="en-US" w:eastAsia="en-US" w:bidi="ar-SA"/>
        </w:rPr>
      </w:pPr>
      <w:r>
        <w:rPr>
          <w:rFonts w:hint="eastAsia" w:ascii="方正小标宋简体" w:hAnsi="方正小标宋简体" w:eastAsia="方正小标宋简体" w:cs="方正小标宋简体"/>
          <w:color w:val="000000"/>
          <w:sz w:val="84"/>
          <w:szCs w:val="84"/>
          <w:lang w:val="en-US" w:eastAsia="en-US" w:bidi="ar-SA"/>
        </w:rPr>
        <w:t>应急预案</w:t>
      </w:r>
    </w:p>
    <w:p w14:paraId="2C0A502D">
      <w:pPr>
        <w:keepNext w:val="0"/>
        <w:keepLines w:val="0"/>
        <w:pageBreakBefore w:val="0"/>
        <w:widowControl/>
        <w:kinsoku/>
        <w:wordWrap/>
        <w:overflowPunct/>
        <w:topLinePunct w:val="0"/>
        <w:autoSpaceDE/>
        <w:autoSpaceDN/>
        <w:bidi w:val="0"/>
        <w:adjustRightInd w:val="0"/>
        <w:snapToGrid w:val="0"/>
        <w:spacing w:before="0" w:after="0" w:line="240" w:lineRule="auto"/>
        <w:ind w:left="2093" w:right="0" w:firstLine="0"/>
        <w:jc w:val="center"/>
        <w:textAlignment w:val="auto"/>
        <w:rPr>
          <w:rFonts w:hint="eastAsia" w:ascii="方正大标宋简体" w:hAnsi="方正大标宋简体" w:eastAsia="方正大标宋简体" w:cs="方正大标宋简体"/>
          <w:color w:val="000000"/>
          <w:sz w:val="84"/>
          <w:szCs w:val="84"/>
          <w:lang w:val="en-US" w:eastAsia="en-US" w:bidi="ar-SA"/>
        </w:rPr>
        <w:sectPr>
          <w:pgSz w:w="11900" w:h="16820"/>
          <w:pgMar w:top="1701" w:right="1701" w:bottom="1701" w:left="1701" w:header="720" w:footer="1247" w:gutter="0"/>
          <w:pgNumType w:start="1"/>
          <w:cols w:space="0" w:num="1"/>
          <w:rtlGutter w:val="0"/>
          <w:docGrid w:linePitch="1" w:charSpace="0"/>
        </w:sectPr>
      </w:pPr>
    </w:p>
    <w:p w14:paraId="3A45F068">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center"/>
        <w:textAlignment w:val="auto"/>
        <w:rPr>
          <w:rFonts w:hint="eastAsia" w:ascii="方正小标宋简体" w:hAnsi="方正小标宋简体" w:eastAsia="方正小标宋简体" w:cs="方正小标宋简体"/>
          <w:color w:val="000000"/>
          <w:sz w:val="44"/>
          <w:szCs w:val="22"/>
          <w:lang w:val="en-US" w:eastAsia="zh-CN" w:bidi="ar-SA"/>
        </w:rPr>
      </w:pPr>
      <w:r>
        <w:rPr>
          <w:rFonts w:hint="eastAsia" w:ascii="方正小标宋简体" w:hAnsi="方正小标宋简体" w:eastAsia="方正小标宋简体" w:cs="方正小标宋简体"/>
          <w:color w:val="000000"/>
          <w:sz w:val="44"/>
          <w:szCs w:val="22"/>
          <w:lang w:val="en-US" w:eastAsia="zh-CN" w:bidi="ar-SA"/>
        </w:rPr>
        <w:t>目  录</w:t>
      </w:r>
    </w:p>
    <w:p w14:paraId="69B40E04">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center"/>
        <w:textAlignment w:val="auto"/>
        <w:rPr>
          <w:rFonts w:hint="eastAsia" w:ascii="方正小标宋简体" w:hAnsi="方正小标宋简体" w:eastAsia="方正小标宋简体" w:cs="方正小标宋简体"/>
          <w:color w:val="000000"/>
          <w:sz w:val="44"/>
          <w:szCs w:val="22"/>
          <w:lang w:val="en-US" w:eastAsia="zh-CN" w:bidi="ar-SA"/>
        </w:rPr>
      </w:pPr>
    </w:p>
    <w:p w14:paraId="43090000">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zh-CN" w:bidi="ar-SA"/>
        </w:rPr>
      </w:pPr>
      <w:r>
        <w:rPr>
          <w:rFonts w:hint="eastAsia" w:ascii="仿宋_GB2312" w:hAnsi="仿宋_GB2312" w:eastAsia="仿宋_GB2312" w:cs="仿宋_GB2312"/>
          <w:color w:val="000000"/>
          <w:sz w:val="32"/>
          <w:szCs w:val="22"/>
          <w:lang w:val="en-US" w:eastAsia="en-US" w:bidi="ar-SA"/>
        </w:rPr>
        <w:t>一、总则</w:t>
      </w:r>
      <w:r>
        <w:rPr>
          <w:rFonts w:hint="eastAsia" w:ascii="仿宋_GB2312" w:hAnsi="仿宋_GB2312" w:eastAsia="仿宋_GB2312" w:cs="仿宋_GB2312"/>
          <w:color w:val="000000"/>
          <w:sz w:val="32"/>
          <w:szCs w:val="22"/>
          <w:lang w:val="en-US" w:eastAsia="zh-CN" w:bidi="ar-SA"/>
        </w:rPr>
        <w:t>……………………………………………………（1）</w:t>
      </w:r>
    </w:p>
    <w:p w14:paraId="416922DF">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（一）编制目的</w:t>
      </w:r>
      <w:r>
        <w:rPr>
          <w:rFonts w:hint="eastAsia" w:ascii="仿宋_GB2312" w:hAnsi="仿宋_GB2312" w:eastAsia="仿宋_GB2312" w:cs="仿宋_GB2312"/>
          <w:color w:val="000000"/>
          <w:sz w:val="32"/>
          <w:szCs w:val="22"/>
          <w:lang w:val="en-US" w:eastAsia="zh-CN" w:bidi="ar-SA"/>
        </w:rPr>
        <w:t>…………………………………………（1）</w:t>
      </w:r>
    </w:p>
    <w:p w14:paraId="48C7647A">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（二）编制依据</w:t>
      </w:r>
      <w:r>
        <w:rPr>
          <w:rFonts w:hint="eastAsia" w:ascii="仿宋_GB2312" w:hAnsi="仿宋_GB2312" w:eastAsia="仿宋_GB2312" w:cs="仿宋_GB2312"/>
          <w:color w:val="000000"/>
          <w:sz w:val="32"/>
          <w:szCs w:val="22"/>
          <w:lang w:val="en-US" w:eastAsia="zh-CN" w:bidi="ar-SA"/>
        </w:rPr>
        <w:t>…………………………………………（1）</w:t>
      </w:r>
    </w:p>
    <w:p w14:paraId="36EAD937">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（三）适用范围及全市矿山基本情况</w:t>
      </w:r>
      <w:r>
        <w:rPr>
          <w:rFonts w:hint="eastAsia" w:ascii="仿宋_GB2312" w:hAnsi="仿宋_GB2312" w:eastAsia="仿宋_GB2312" w:cs="仿宋_GB2312"/>
          <w:color w:val="000000"/>
          <w:sz w:val="32"/>
          <w:szCs w:val="22"/>
          <w:lang w:val="en-US" w:eastAsia="zh-CN" w:bidi="ar-SA"/>
        </w:rPr>
        <w:t>…………………（1）</w:t>
      </w:r>
    </w:p>
    <w:p w14:paraId="65DF1C7A">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（四）工作原则</w:t>
      </w:r>
      <w:r>
        <w:rPr>
          <w:rFonts w:hint="eastAsia" w:ascii="仿宋_GB2312" w:hAnsi="仿宋_GB2312" w:eastAsia="仿宋_GB2312" w:cs="仿宋_GB2312"/>
          <w:color w:val="000000"/>
          <w:sz w:val="32"/>
          <w:szCs w:val="22"/>
          <w:lang w:val="en-US" w:eastAsia="zh-CN" w:bidi="ar-SA"/>
        </w:rPr>
        <w:t>…………………………………………（2）</w:t>
      </w:r>
    </w:p>
    <w:p w14:paraId="68D77555">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二、应急组织体系及职责</w:t>
      </w:r>
      <w:r>
        <w:rPr>
          <w:rFonts w:hint="eastAsia" w:ascii="仿宋_GB2312" w:hAnsi="仿宋_GB2312" w:eastAsia="仿宋_GB2312" w:cs="仿宋_GB2312"/>
          <w:color w:val="000000"/>
          <w:sz w:val="32"/>
          <w:szCs w:val="22"/>
          <w:lang w:val="en-US" w:eastAsia="zh-CN" w:bidi="ar-SA"/>
        </w:rPr>
        <w:t>…………………………………（2）</w:t>
      </w:r>
    </w:p>
    <w:p w14:paraId="1F3B767E">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（一）市应急指挥部</w:t>
      </w:r>
      <w:r>
        <w:rPr>
          <w:rFonts w:hint="eastAsia" w:ascii="仿宋_GB2312" w:hAnsi="仿宋_GB2312" w:eastAsia="仿宋_GB2312" w:cs="仿宋_GB2312"/>
          <w:color w:val="000000"/>
          <w:sz w:val="32"/>
          <w:szCs w:val="22"/>
          <w:lang w:val="en-US" w:eastAsia="zh-CN" w:bidi="ar-SA"/>
        </w:rPr>
        <w:t>……………………………………（2）</w:t>
      </w:r>
    </w:p>
    <w:p w14:paraId="32A5130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1.市指挥部组成</w:t>
      </w:r>
      <w:r>
        <w:rPr>
          <w:rFonts w:hint="eastAsia" w:ascii="仿宋_GB2312" w:hAnsi="仿宋_GB2312" w:eastAsia="仿宋_GB2312" w:cs="仿宋_GB2312"/>
          <w:color w:val="000000"/>
          <w:sz w:val="32"/>
          <w:szCs w:val="22"/>
          <w:lang w:val="en-US" w:eastAsia="zh-CN" w:bidi="ar-SA"/>
        </w:rPr>
        <w:t>……………………………………（2）</w:t>
      </w:r>
    </w:p>
    <w:p w14:paraId="569C2C6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2.市指挥部主要职责</w:t>
      </w:r>
      <w:r>
        <w:rPr>
          <w:rFonts w:hint="eastAsia" w:ascii="仿宋_GB2312" w:hAnsi="仿宋_GB2312" w:eastAsia="仿宋_GB2312" w:cs="仿宋_GB2312"/>
          <w:color w:val="000000"/>
          <w:sz w:val="32"/>
          <w:szCs w:val="22"/>
          <w:lang w:val="en-US" w:eastAsia="zh-CN" w:bidi="ar-SA"/>
        </w:rPr>
        <w:t>………………………………（3）</w:t>
      </w:r>
    </w:p>
    <w:p w14:paraId="62D85E22">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3.成员单位职责</w:t>
      </w:r>
      <w:r>
        <w:rPr>
          <w:rFonts w:hint="eastAsia" w:ascii="仿宋_GB2312" w:hAnsi="仿宋_GB2312" w:eastAsia="仿宋_GB2312" w:cs="仿宋_GB2312"/>
          <w:color w:val="000000"/>
          <w:sz w:val="32"/>
          <w:szCs w:val="22"/>
          <w:lang w:val="en-US" w:eastAsia="zh-CN" w:bidi="ar-SA"/>
        </w:rPr>
        <w:t>……………………………………（3）</w:t>
      </w:r>
    </w:p>
    <w:p w14:paraId="74969AE5">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（二）市应急指挥部办公室</w:t>
      </w:r>
      <w:r>
        <w:rPr>
          <w:rFonts w:hint="eastAsia" w:ascii="仿宋_GB2312" w:hAnsi="仿宋_GB2312" w:eastAsia="仿宋_GB2312" w:cs="仿宋_GB2312"/>
          <w:color w:val="000000"/>
          <w:sz w:val="32"/>
          <w:szCs w:val="22"/>
          <w:lang w:val="en-US" w:eastAsia="zh-CN" w:bidi="ar-SA"/>
        </w:rPr>
        <w:t>……………………………（5）</w:t>
      </w:r>
    </w:p>
    <w:p w14:paraId="63AD94AB">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1.市应急指挥部办公室组成</w:t>
      </w:r>
      <w:r>
        <w:rPr>
          <w:rFonts w:hint="eastAsia" w:ascii="仿宋_GB2312" w:hAnsi="仿宋_GB2312" w:eastAsia="仿宋_GB2312" w:cs="仿宋_GB2312"/>
          <w:color w:val="000000"/>
          <w:sz w:val="32"/>
          <w:szCs w:val="22"/>
          <w:lang w:val="en-US" w:eastAsia="zh-CN" w:bidi="ar-SA"/>
        </w:rPr>
        <w:t>………………………（5）</w:t>
      </w:r>
    </w:p>
    <w:p w14:paraId="0801CA60">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2.市应急指挥部办公室职责</w:t>
      </w:r>
      <w:r>
        <w:rPr>
          <w:rFonts w:hint="eastAsia" w:ascii="仿宋_GB2312" w:hAnsi="仿宋_GB2312" w:eastAsia="仿宋_GB2312" w:cs="仿宋_GB2312"/>
          <w:color w:val="000000"/>
          <w:sz w:val="32"/>
          <w:szCs w:val="22"/>
          <w:lang w:val="en-US" w:eastAsia="zh-CN" w:bidi="ar-SA"/>
        </w:rPr>
        <w:t>………………………（6）</w:t>
      </w:r>
    </w:p>
    <w:p w14:paraId="7378256C">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（三）事故现场指挥部</w:t>
      </w:r>
      <w:r>
        <w:rPr>
          <w:rFonts w:hint="eastAsia" w:ascii="仿宋_GB2312" w:hAnsi="仿宋_GB2312" w:eastAsia="仿宋_GB2312" w:cs="仿宋_GB2312"/>
          <w:color w:val="000000"/>
          <w:sz w:val="32"/>
          <w:szCs w:val="22"/>
          <w:lang w:val="en-US" w:eastAsia="zh-CN" w:bidi="ar-SA"/>
        </w:rPr>
        <w:t>…………………………………（6）</w:t>
      </w:r>
    </w:p>
    <w:p w14:paraId="3C1089A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1.事故现场指挥部的组成</w:t>
      </w:r>
      <w:r>
        <w:rPr>
          <w:rFonts w:hint="eastAsia" w:ascii="仿宋_GB2312" w:hAnsi="仿宋_GB2312" w:eastAsia="仿宋_GB2312" w:cs="仿宋_GB2312"/>
          <w:color w:val="000000"/>
          <w:sz w:val="32"/>
          <w:szCs w:val="22"/>
          <w:lang w:val="en-US" w:eastAsia="zh-CN" w:bidi="ar-SA"/>
        </w:rPr>
        <w:t>…………………………（6）</w:t>
      </w:r>
    </w:p>
    <w:p w14:paraId="15F0099F">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2.事故现场指挥部主要工作职责</w:t>
      </w:r>
      <w:r>
        <w:rPr>
          <w:rFonts w:hint="eastAsia" w:ascii="仿宋_GB2312" w:hAnsi="仿宋_GB2312" w:eastAsia="仿宋_GB2312" w:cs="仿宋_GB2312"/>
          <w:color w:val="000000"/>
          <w:sz w:val="32"/>
          <w:szCs w:val="22"/>
          <w:lang w:val="en-US" w:eastAsia="zh-CN" w:bidi="ar-SA"/>
        </w:rPr>
        <w:t>…………………（7）</w:t>
      </w:r>
    </w:p>
    <w:p w14:paraId="3EAF542F">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960" w:firstLineChars="3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3.现场救援专业组及职责</w:t>
      </w:r>
      <w:bookmarkStart w:id="1" w:name="br1_2"/>
      <w:bookmarkEnd w:id="1"/>
      <w:r>
        <w:rPr>
          <w:rFonts w:hint="eastAsia" w:ascii="仿宋_GB2312" w:hAnsi="仿宋_GB2312" w:eastAsia="仿宋_GB2312" w:cs="仿宋_GB2312"/>
          <w:color w:val="000000"/>
          <w:sz w:val="32"/>
          <w:szCs w:val="22"/>
          <w:lang w:val="en-US" w:eastAsia="zh-CN" w:bidi="ar-SA"/>
        </w:rPr>
        <w:t>…………………………（7）</w:t>
      </w:r>
    </w:p>
    <w:p w14:paraId="3825C01C">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三、矿山事故及应急响应分级</w:t>
      </w:r>
      <w:r>
        <w:rPr>
          <w:rFonts w:hint="eastAsia" w:ascii="仿宋_GB2312" w:hAnsi="仿宋_GB2312" w:eastAsia="仿宋_GB2312" w:cs="仿宋_GB2312"/>
          <w:color w:val="000000"/>
          <w:sz w:val="32"/>
          <w:szCs w:val="22"/>
          <w:lang w:val="en-US" w:eastAsia="zh-CN" w:bidi="ar-SA"/>
        </w:rPr>
        <w:t>……………………………（8）</w:t>
      </w:r>
    </w:p>
    <w:p w14:paraId="49C775F5">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（一）特别重大矿山事故（Ⅰ级）</w:t>
      </w:r>
      <w:r>
        <w:rPr>
          <w:rFonts w:hint="eastAsia" w:ascii="仿宋_GB2312" w:hAnsi="仿宋_GB2312" w:eastAsia="仿宋_GB2312" w:cs="仿宋_GB2312"/>
          <w:color w:val="000000"/>
          <w:sz w:val="32"/>
          <w:szCs w:val="22"/>
          <w:lang w:val="en-US" w:eastAsia="zh-CN" w:bidi="ar-SA"/>
        </w:rPr>
        <w:t>……………………（8）</w:t>
      </w:r>
    </w:p>
    <w:p w14:paraId="5B8527D0">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zh-CN" w:bidi="ar-SA"/>
        </w:rPr>
      </w:pPr>
      <w:r>
        <w:rPr>
          <w:rFonts w:hint="eastAsia" w:ascii="仿宋_GB2312" w:hAnsi="仿宋_GB2312" w:eastAsia="仿宋_GB2312" w:cs="仿宋_GB2312"/>
          <w:color w:val="000000"/>
          <w:sz w:val="32"/>
          <w:szCs w:val="22"/>
          <w:lang w:val="en-US" w:eastAsia="en-US" w:bidi="ar-SA"/>
        </w:rPr>
        <w:t>（二）重大矿山事故（Ⅱ级）</w:t>
      </w:r>
      <w:r>
        <w:rPr>
          <w:rFonts w:hint="eastAsia" w:ascii="仿宋_GB2312" w:hAnsi="仿宋_GB2312" w:eastAsia="仿宋_GB2312" w:cs="仿宋_GB2312"/>
          <w:color w:val="000000"/>
          <w:sz w:val="32"/>
          <w:szCs w:val="22"/>
          <w:lang w:val="en-US" w:eastAsia="zh-CN" w:bidi="ar-SA"/>
        </w:rPr>
        <w:t>…………………………（9）</w:t>
      </w:r>
    </w:p>
    <w:p w14:paraId="3620A649">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（三）较大矿山事故（Ⅲ级）</w:t>
      </w:r>
      <w:r>
        <w:rPr>
          <w:rFonts w:hint="eastAsia" w:ascii="仿宋_GB2312" w:hAnsi="仿宋_GB2312" w:eastAsia="仿宋_GB2312" w:cs="仿宋_GB2312"/>
          <w:color w:val="000000"/>
          <w:sz w:val="32"/>
          <w:szCs w:val="22"/>
          <w:lang w:val="en-US" w:eastAsia="zh-CN" w:bidi="ar-SA"/>
        </w:rPr>
        <w:t>…………………………（9）</w:t>
      </w:r>
    </w:p>
    <w:p w14:paraId="1C84E232">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（四）一般矿山事故（Ⅳ级）</w:t>
      </w:r>
      <w:r>
        <w:rPr>
          <w:rFonts w:hint="eastAsia" w:ascii="仿宋_GB2312" w:hAnsi="仿宋_GB2312" w:eastAsia="仿宋_GB2312" w:cs="仿宋_GB2312"/>
          <w:color w:val="000000"/>
          <w:sz w:val="32"/>
          <w:szCs w:val="22"/>
          <w:lang w:val="en-US" w:eastAsia="zh-CN" w:bidi="ar-SA"/>
        </w:rPr>
        <w:t>………………………（10）</w:t>
      </w:r>
    </w:p>
    <w:p w14:paraId="45F985F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四、预警和预防机制</w:t>
      </w:r>
      <w:r>
        <w:rPr>
          <w:rFonts w:hint="eastAsia" w:ascii="仿宋_GB2312" w:hAnsi="仿宋_GB2312" w:eastAsia="仿宋_GB2312" w:cs="仿宋_GB2312"/>
          <w:color w:val="000000"/>
          <w:sz w:val="32"/>
          <w:szCs w:val="22"/>
          <w:lang w:val="en-US" w:eastAsia="zh-CN" w:bidi="ar-SA"/>
        </w:rPr>
        <w:t>……………………………………（10）</w:t>
      </w:r>
    </w:p>
    <w:p w14:paraId="6F1E76B9">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（一）信息报送</w:t>
      </w:r>
      <w:r>
        <w:rPr>
          <w:rFonts w:hint="eastAsia" w:ascii="仿宋_GB2312" w:hAnsi="仿宋_GB2312" w:eastAsia="仿宋_GB2312" w:cs="仿宋_GB2312"/>
          <w:color w:val="000000"/>
          <w:sz w:val="32"/>
          <w:szCs w:val="22"/>
          <w:lang w:val="en-US" w:eastAsia="zh-CN" w:bidi="ar-SA"/>
        </w:rPr>
        <w:t>………………………………………（10）</w:t>
      </w:r>
    </w:p>
    <w:p w14:paraId="489388AF">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（二）事故预防</w:t>
      </w:r>
      <w:r>
        <w:rPr>
          <w:rFonts w:hint="eastAsia" w:ascii="仿宋_GB2312" w:hAnsi="仿宋_GB2312" w:eastAsia="仿宋_GB2312" w:cs="仿宋_GB2312"/>
          <w:color w:val="000000"/>
          <w:sz w:val="32"/>
          <w:szCs w:val="22"/>
          <w:lang w:val="en-US" w:eastAsia="zh-CN" w:bidi="ar-SA"/>
        </w:rPr>
        <w:t>………………………………………（10）</w:t>
      </w:r>
    </w:p>
    <w:p w14:paraId="78611754">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五、应急响应</w:t>
      </w:r>
      <w:r>
        <w:rPr>
          <w:rFonts w:hint="eastAsia" w:ascii="仿宋_GB2312" w:hAnsi="仿宋_GB2312" w:eastAsia="仿宋_GB2312" w:cs="仿宋_GB2312"/>
          <w:color w:val="000000"/>
          <w:sz w:val="32"/>
          <w:szCs w:val="22"/>
          <w:lang w:val="en-US" w:eastAsia="zh-CN" w:bidi="ar-SA"/>
        </w:rPr>
        <w:t>……………………………………………（11）</w:t>
      </w:r>
    </w:p>
    <w:p w14:paraId="542459F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（一）分级响应</w:t>
      </w:r>
      <w:r>
        <w:rPr>
          <w:rFonts w:hint="eastAsia" w:ascii="仿宋_GB2312" w:hAnsi="仿宋_GB2312" w:eastAsia="仿宋_GB2312" w:cs="仿宋_GB2312"/>
          <w:color w:val="000000"/>
          <w:sz w:val="32"/>
          <w:szCs w:val="22"/>
          <w:lang w:val="en-US" w:eastAsia="zh-CN" w:bidi="ar-SA"/>
        </w:rPr>
        <w:t>………………………………………（11）</w:t>
      </w:r>
    </w:p>
    <w:p w14:paraId="7B98CBC6">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（二）市级响应</w:t>
      </w:r>
      <w:r>
        <w:rPr>
          <w:rFonts w:hint="eastAsia" w:ascii="仿宋_GB2312" w:hAnsi="仿宋_GB2312" w:eastAsia="仿宋_GB2312" w:cs="仿宋_GB2312"/>
          <w:color w:val="000000"/>
          <w:sz w:val="32"/>
          <w:szCs w:val="22"/>
          <w:lang w:val="en-US" w:eastAsia="zh-CN" w:bidi="ar-SA"/>
        </w:rPr>
        <w:t>………………………………………（11）</w:t>
      </w:r>
    </w:p>
    <w:p w14:paraId="7AA7D3EE">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六、应急结束及后期处置</w:t>
      </w:r>
      <w:r>
        <w:rPr>
          <w:rFonts w:hint="eastAsia" w:ascii="仿宋_GB2312" w:hAnsi="仿宋_GB2312" w:eastAsia="仿宋_GB2312" w:cs="仿宋_GB2312"/>
          <w:color w:val="000000"/>
          <w:sz w:val="32"/>
          <w:szCs w:val="22"/>
          <w:lang w:val="en-US" w:eastAsia="zh-CN" w:bidi="ar-SA"/>
        </w:rPr>
        <w:t>………………………………（11）</w:t>
      </w:r>
    </w:p>
    <w:p w14:paraId="40EB09C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（一）应急结束</w:t>
      </w:r>
      <w:r>
        <w:rPr>
          <w:rFonts w:hint="eastAsia" w:ascii="仿宋_GB2312" w:hAnsi="仿宋_GB2312" w:eastAsia="仿宋_GB2312" w:cs="仿宋_GB2312"/>
          <w:color w:val="000000"/>
          <w:sz w:val="32"/>
          <w:szCs w:val="22"/>
          <w:lang w:val="en-US" w:eastAsia="zh-CN" w:bidi="ar-SA"/>
        </w:rPr>
        <w:t>………………………………………（11）</w:t>
      </w:r>
    </w:p>
    <w:p w14:paraId="209B1532">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（二）善后处理</w:t>
      </w:r>
      <w:r>
        <w:rPr>
          <w:rFonts w:hint="eastAsia" w:ascii="仿宋_GB2312" w:hAnsi="仿宋_GB2312" w:eastAsia="仿宋_GB2312" w:cs="仿宋_GB2312"/>
          <w:color w:val="000000"/>
          <w:sz w:val="32"/>
          <w:szCs w:val="22"/>
          <w:lang w:val="en-US" w:eastAsia="zh-CN" w:bidi="ar-SA"/>
        </w:rPr>
        <w:t>………………………………………（12）</w:t>
      </w:r>
    </w:p>
    <w:p w14:paraId="44C085D3">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（三）调查评估</w:t>
      </w:r>
      <w:r>
        <w:rPr>
          <w:rFonts w:hint="eastAsia" w:ascii="仿宋_GB2312" w:hAnsi="仿宋_GB2312" w:eastAsia="仿宋_GB2312" w:cs="仿宋_GB2312"/>
          <w:color w:val="000000"/>
          <w:sz w:val="32"/>
          <w:szCs w:val="22"/>
          <w:lang w:val="en-US" w:eastAsia="zh-CN" w:bidi="ar-SA"/>
        </w:rPr>
        <w:t>………………………………………（12）</w:t>
      </w:r>
    </w:p>
    <w:p w14:paraId="195A60C4">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七、应急预案管理</w:t>
      </w:r>
      <w:r>
        <w:rPr>
          <w:rFonts w:hint="eastAsia" w:ascii="仿宋_GB2312" w:hAnsi="仿宋_GB2312" w:eastAsia="仿宋_GB2312" w:cs="仿宋_GB2312"/>
          <w:color w:val="000000"/>
          <w:sz w:val="32"/>
          <w:szCs w:val="22"/>
          <w:lang w:val="en-US" w:eastAsia="zh-CN" w:bidi="ar-SA"/>
        </w:rPr>
        <w:t>………………………………………（12）</w:t>
      </w:r>
    </w:p>
    <w:p w14:paraId="7232AEF7">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（一）宣传、培训和演练</w:t>
      </w:r>
      <w:r>
        <w:rPr>
          <w:rFonts w:hint="eastAsia" w:ascii="仿宋_GB2312" w:hAnsi="仿宋_GB2312" w:eastAsia="仿宋_GB2312" w:cs="仿宋_GB2312"/>
          <w:color w:val="000000"/>
          <w:sz w:val="32"/>
          <w:szCs w:val="22"/>
          <w:lang w:val="en-US" w:eastAsia="zh-CN" w:bidi="ar-SA"/>
        </w:rPr>
        <w:t>……………………………（12）</w:t>
      </w:r>
    </w:p>
    <w:p w14:paraId="7FD9EA04">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（二）奖惩</w:t>
      </w:r>
      <w:r>
        <w:rPr>
          <w:rFonts w:hint="eastAsia" w:ascii="仿宋_GB2312" w:hAnsi="仿宋_GB2312" w:eastAsia="仿宋_GB2312" w:cs="仿宋_GB2312"/>
          <w:color w:val="000000"/>
          <w:sz w:val="32"/>
          <w:szCs w:val="22"/>
          <w:lang w:val="en-US" w:eastAsia="zh-CN" w:bidi="ar-SA"/>
        </w:rPr>
        <w:t>……………………………………………（13）</w:t>
      </w:r>
    </w:p>
    <w:p w14:paraId="1483B36C">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八、附则</w:t>
      </w:r>
      <w:r>
        <w:rPr>
          <w:rFonts w:hint="eastAsia" w:ascii="仿宋_GB2312" w:hAnsi="仿宋_GB2312" w:eastAsia="仿宋_GB2312" w:cs="仿宋_GB2312"/>
          <w:color w:val="000000"/>
          <w:sz w:val="32"/>
          <w:szCs w:val="22"/>
          <w:lang w:val="en-US" w:eastAsia="zh-CN" w:bidi="ar-SA"/>
        </w:rPr>
        <w:t>…………………………………………………（13）</w:t>
      </w:r>
    </w:p>
    <w:p w14:paraId="7920FDD2">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（一）有关说明</w:t>
      </w:r>
      <w:r>
        <w:rPr>
          <w:rFonts w:hint="eastAsia" w:ascii="仿宋_GB2312" w:hAnsi="仿宋_GB2312" w:eastAsia="仿宋_GB2312" w:cs="仿宋_GB2312"/>
          <w:color w:val="000000"/>
          <w:sz w:val="32"/>
          <w:szCs w:val="22"/>
          <w:lang w:val="en-US" w:eastAsia="zh-CN" w:bidi="ar-SA"/>
        </w:rPr>
        <w:t>………………………………………（13）</w:t>
      </w:r>
    </w:p>
    <w:p w14:paraId="0DAA9E0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（二）预案管理与更新</w:t>
      </w:r>
      <w:r>
        <w:rPr>
          <w:rFonts w:hint="eastAsia" w:ascii="仿宋_GB2312" w:hAnsi="仿宋_GB2312" w:eastAsia="仿宋_GB2312" w:cs="仿宋_GB2312"/>
          <w:color w:val="000000"/>
          <w:sz w:val="32"/>
          <w:szCs w:val="22"/>
          <w:lang w:val="en-US" w:eastAsia="zh-CN" w:bidi="ar-SA"/>
        </w:rPr>
        <w:t>………………………………（13）</w:t>
      </w:r>
    </w:p>
    <w:p w14:paraId="55BD282E">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（三）预案实施时间及解释</w:t>
      </w:r>
      <w:r>
        <w:rPr>
          <w:rFonts w:hint="eastAsia" w:ascii="仿宋_GB2312" w:hAnsi="仿宋_GB2312" w:eastAsia="仿宋_GB2312" w:cs="仿宋_GB2312"/>
          <w:color w:val="000000"/>
          <w:sz w:val="32"/>
          <w:szCs w:val="22"/>
          <w:lang w:val="en-US" w:eastAsia="zh-CN" w:bidi="ar-SA"/>
        </w:rPr>
        <w:t>…………………………（13）</w:t>
      </w:r>
    </w:p>
    <w:p w14:paraId="415E5416">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pPr>
    </w:p>
    <w:p w14:paraId="62D2FF2D">
      <w:pPr>
        <w:keepNext w:val="0"/>
        <w:keepLines w:val="0"/>
        <w:pageBreakBefore w:val="0"/>
        <w:widowControl w:val="0"/>
        <w:kinsoku/>
        <w:wordWrap/>
        <w:overflowPunct/>
        <w:topLinePunct w:val="0"/>
        <w:autoSpaceDE/>
        <w:autoSpaceDN/>
        <w:bidi w:val="0"/>
        <w:adjustRightInd w:val="0"/>
        <w:snapToGrid w:val="0"/>
        <w:spacing w:after="0" w:line="600" w:lineRule="exact"/>
        <w:ind w:left="0" w:right="0" w:firstLine="320" w:firstLineChars="100"/>
        <w:jc w:val="left"/>
        <w:textAlignment w:val="auto"/>
        <w:rPr>
          <w:rFonts w:hint="eastAsia" w:ascii="仿宋_GB2312" w:hAnsi="仿宋_GB2312" w:eastAsia="仿宋_GB2312" w:cs="仿宋_GB2312"/>
          <w:color w:val="000000"/>
          <w:sz w:val="32"/>
          <w:szCs w:val="22"/>
          <w:lang w:val="en-US" w:eastAsia="en-US" w:bidi="ar-SA"/>
        </w:rPr>
        <w:sectPr>
          <w:footerReference r:id="rId3" w:type="default"/>
          <w:pgSz w:w="11900" w:h="16820"/>
          <w:pgMar w:top="1701" w:right="1701" w:bottom="1701" w:left="1701" w:header="720" w:footer="1247" w:gutter="0"/>
          <w:pgNumType w:start="1"/>
          <w:cols w:space="0" w:num="1"/>
          <w:rtlGutter w:val="0"/>
          <w:docGrid w:linePitch="1" w:charSpace="0"/>
        </w:sectPr>
      </w:pPr>
    </w:p>
    <w:p w14:paraId="0B4EF607">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黑体" w:hAnsi="黑体" w:eastAsia="黑体" w:cs="黑体"/>
          <w:color w:val="000000"/>
          <w:sz w:val="32"/>
          <w:szCs w:val="22"/>
          <w:lang w:val="en-US" w:eastAsia="en-US" w:bidi="ar-SA"/>
        </w:rPr>
      </w:pPr>
      <w:bookmarkStart w:id="2" w:name="br1_3"/>
      <w:bookmarkEnd w:id="2"/>
      <w:r>
        <w:rPr>
          <w:rFonts w:hint="eastAsia" w:ascii="黑体" w:hAnsi="黑体" w:eastAsia="黑体" w:cs="黑体"/>
          <w:color w:val="000000"/>
          <w:spacing w:val="-1"/>
          <w:sz w:val="32"/>
          <w:szCs w:val="22"/>
          <w:lang w:val="en-US" w:eastAsia="en-US" w:bidi="ar-SA"/>
        </w:rPr>
        <w:t>一、总</w:t>
      </w:r>
      <w:r>
        <w:rPr>
          <w:rFonts w:hint="eastAsia" w:ascii="黑体" w:hAnsi="黑体" w:eastAsia="黑体" w:cs="黑体"/>
          <w:color w:val="000000"/>
          <w:spacing w:val="172"/>
          <w:sz w:val="32"/>
          <w:szCs w:val="22"/>
          <w:lang w:val="en-US" w:eastAsia="en-US" w:bidi="ar-SA"/>
        </w:rPr>
        <w:t xml:space="preserve"> </w:t>
      </w:r>
      <w:r>
        <w:rPr>
          <w:rFonts w:hint="eastAsia" w:ascii="黑体" w:hAnsi="黑体" w:eastAsia="黑体" w:cs="黑体"/>
          <w:color w:val="000000"/>
          <w:sz w:val="32"/>
          <w:szCs w:val="22"/>
          <w:lang w:val="en-US" w:eastAsia="en-US" w:bidi="ar-SA"/>
        </w:rPr>
        <w:t>则</w:t>
      </w:r>
    </w:p>
    <w:p w14:paraId="5E9ED9BA">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（一）编制目的</w:t>
      </w:r>
    </w:p>
    <w:p w14:paraId="036F55BE">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以习近平新时代中国特色社会主义</w:t>
      </w:r>
      <w:r>
        <w:rPr>
          <w:rFonts w:hint="eastAsia" w:ascii="仿宋_GB2312" w:hAnsi="仿宋_GB2312" w:eastAsia="仿宋_GB2312" w:cs="仿宋_GB2312"/>
          <w:color w:val="000000"/>
          <w:spacing w:val="3"/>
          <w:sz w:val="32"/>
          <w:szCs w:val="22"/>
          <w:lang w:val="en-US" w:eastAsia="zh-CN" w:bidi="ar-SA"/>
        </w:rPr>
        <w:t>思想</w:t>
      </w:r>
      <w:r>
        <w:rPr>
          <w:rFonts w:hint="eastAsia" w:ascii="仿宋_GB2312" w:hAnsi="仿宋_GB2312" w:eastAsia="仿宋_GB2312" w:cs="仿宋_GB2312"/>
          <w:color w:val="000000"/>
          <w:spacing w:val="3"/>
          <w:sz w:val="32"/>
          <w:szCs w:val="22"/>
          <w:lang w:val="en-US" w:eastAsia="en-US" w:bidi="ar-SA"/>
        </w:rPr>
        <w:t>为指导，科学应对矿山生</w:t>
      </w:r>
      <w:r>
        <w:rPr>
          <w:rFonts w:hint="eastAsia" w:ascii="仿宋_GB2312" w:hAnsi="仿宋_GB2312" w:eastAsia="仿宋_GB2312" w:cs="仿宋_GB2312"/>
          <w:color w:val="000000"/>
          <w:spacing w:val="8"/>
          <w:sz w:val="32"/>
          <w:szCs w:val="22"/>
          <w:lang w:val="en-US" w:eastAsia="en-US" w:bidi="ar-SA"/>
        </w:rPr>
        <w:t>产安全事故,规范全市矿山生产安全事故的应急管理和应急响应</w:t>
      </w:r>
      <w:r>
        <w:rPr>
          <w:rFonts w:hint="eastAsia" w:ascii="仿宋_GB2312" w:hAnsi="仿宋_GB2312" w:eastAsia="仿宋_GB2312" w:cs="仿宋_GB2312"/>
          <w:color w:val="000000"/>
          <w:spacing w:val="2"/>
          <w:sz w:val="32"/>
          <w:szCs w:val="22"/>
          <w:lang w:val="en-US" w:eastAsia="en-US" w:bidi="ar-SA"/>
        </w:rPr>
        <w:t>程序,预防和及时处置突发性矿山生产安全故事故,最大限度地减少人员伤亡和财产损失,保障人民群众生命财产安全,维护社会稳定。</w:t>
      </w:r>
    </w:p>
    <w:p w14:paraId="5728F021">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（二）编制依据</w:t>
      </w:r>
    </w:p>
    <w:p w14:paraId="39340128">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依据《中华人民共和国安全生产法》《中华人民共和国矿</w:t>
      </w:r>
      <w:r>
        <w:rPr>
          <w:rFonts w:hint="eastAsia" w:ascii="仿宋_GB2312" w:hAnsi="仿宋_GB2312" w:eastAsia="仿宋_GB2312" w:cs="仿宋_GB2312"/>
          <w:color w:val="000000"/>
          <w:spacing w:val="2"/>
          <w:sz w:val="32"/>
          <w:szCs w:val="22"/>
          <w:lang w:val="en-US" w:eastAsia="en-US" w:bidi="ar-SA"/>
        </w:rPr>
        <w:t>山安全法》《中华人民共和国矿山安全法实施条例》《中华人民共和国突发事件应对法》《生产安全故事故应急预案管理办法》等法律法规和《金华市矿山事故应急预案》等有关规定，</w:t>
      </w:r>
      <w:r>
        <w:rPr>
          <w:rFonts w:hint="eastAsia" w:ascii="仿宋_GB2312" w:hAnsi="仿宋_GB2312" w:eastAsia="仿宋_GB2312" w:cs="仿宋_GB2312"/>
          <w:color w:val="000000"/>
          <w:sz w:val="32"/>
          <w:szCs w:val="22"/>
          <w:lang w:val="en-US" w:eastAsia="en-US" w:bidi="ar-SA"/>
        </w:rPr>
        <w:t>制定本预案。</w:t>
      </w:r>
    </w:p>
    <w:p w14:paraId="37549D1D">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（三）适用范围及全市矿山基本情况</w:t>
      </w:r>
    </w:p>
    <w:p w14:paraId="708E39D9">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1.适用范围</w:t>
      </w:r>
    </w:p>
    <w:p w14:paraId="73259CD0">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本预案适用于东阳市行政区域内依法设立的露天、地下矿山</w:t>
      </w:r>
      <w:r>
        <w:rPr>
          <w:rFonts w:hint="eastAsia" w:ascii="仿宋_GB2312" w:hAnsi="仿宋_GB2312" w:eastAsia="仿宋_GB2312" w:cs="仿宋_GB2312"/>
          <w:color w:val="000000"/>
          <w:spacing w:val="2"/>
          <w:sz w:val="32"/>
          <w:szCs w:val="22"/>
          <w:lang w:val="en-US" w:eastAsia="en-US" w:bidi="ar-SA"/>
        </w:rPr>
        <w:t>在矿产资源开采活动中发生的生产安全事故，其他矿产资源开采</w:t>
      </w:r>
      <w:r>
        <w:rPr>
          <w:rFonts w:hint="eastAsia" w:ascii="仿宋_GB2312" w:hAnsi="仿宋_GB2312" w:eastAsia="仿宋_GB2312" w:cs="仿宋_GB2312"/>
          <w:color w:val="000000"/>
          <w:sz w:val="32"/>
          <w:szCs w:val="22"/>
          <w:lang w:val="en-US" w:eastAsia="en-US" w:bidi="ar-SA"/>
        </w:rPr>
        <w:t>活动发生的生产安全事故的应急救援工作参照本方</w:t>
      </w:r>
      <w:r>
        <w:rPr>
          <w:rFonts w:hint="eastAsia" w:ascii="仿宋_GB2312" w:hAnsi="仿宋_GB2312" w:eastAsia="仿宋_GB2312" w:cs="仿宋_GB2312"/>
          <w:color w:val="000000"/>
          <w:sz w:val="32"/>
          <w:szCs w:val="22"/>
          <w:lang w:val="en-US" w:eastAsia="zh-CN" w:bidi="ar-SA"/>
        </w:rPr>
        <w:t xml:space="preserve"> </w:t>
      </w:r>
      <w:r>
        <w:rPr>
          <w:rFonts w:hint="eastAsia" w:ascii="仿宋_GB2312" w:hAnsi="仿宋_GB2312" w:eastAsia="仿宋_GB2312" w:cs="仿宋_GB2312"/>
          <w:color w:val="000000"/>
          <w:sz w:val="32"/>
          <w:szCs w:val="22"/>
          <w:lang w:val="en-US" w:eastAsia="en-US" w:bidi="ar-SA"/>
        </w:rPr>
        <w:t>案实行。</w:t>
      </w:r>
    </w:p>
    <w:p w14:paraId="1F8E2EC4">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2.全市矿山基本情况</w:t>
      </w:r>
    </w:p>
    <w:p w14:paraId="16214042">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全市现有依法设立的地下矿山5家、露天矿山1家、尾矿库1</w:t>
      </w:r>
      <w:r>
        <w:rPr>
          <w:rFonts w:hint="eastAsia" w:ascii="仿宋_GB2312" w:hAnsi="仿宋_GB2312" w:eastAsia="仿宋_GB2312" w:cs="仿宋_GB2312"/>
          <w:color w:val="000000"/>
          <w:spacing w:val="5"/>
          <w:sz w:val="32"/>
          <w:szCs w:val="22"/>
          <w:lang w:val="en-US" w:eastAsia="en-US" w:bidi="ar-SA"/>
        </w:rPr>
        <w:t>座；在矿产资源开采活动中主要存在坍塌、高处坠落、物体打</w:t>
      </w:r>
      <w:bookmarkStart w:id="3" w:name="br1_4"/>
      <w:bookmarkEnd w:id="3"/>
      <w:r>
        <w:rPr>
          <w:rFonts w:hint="eastAsia" w:ascii="仿宋_GB2312" w:hAnsi="仿宋_GB2312" w:eastAsia="仿宋_GB2312" w:cs="仿宋_GB2312"/>
          <w:color w:val="000000"/>
          <w:spacing w:val="2"/>
          <w:sz w:val="32"/>
          <w:szCs w:val="22"/>
          <w:lang w:val="en-US" w:eastAsia="en-US" w:bidi="ar-SA"/>
        </w:rPr>
        <w:t>击、车辆伤害、触电、火灾、爆破、机械伤害、透水、提升运输</w:t>
      </w:r>
      <w:r>
        <w:rPr>
          <w:rFonts w:hint="eastAsia" w:ascii="仿宋_GB2312" w:hAnsi="仿宋_GB2312" w:eastAsia="仿宋_GB2312" w:cs="仿宋_GB2312"/>
          <w:color w:val="000000"/>
          <w:sz w:val="32"/>
          <w:szCs w:val="22"/>
          <w:lang w:val="en-US" w:eastAsia="en-US" w:bidi="ar-SA"/>
        </w:rPr>
        <w:t>伤害、中毒窒息以及尾矿库溃坝等风险。</w:t>
      </w:r>
    </w:p>
    <w:p w14:paraId="0E864772">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（四）工作原则</w:t>
      </w:r>
    </w:p>
    <w:p w14:paraId="6E2987A7">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1.以人为本，快速反应。矿山事故发生后，市政府迅速按照</w:t>
      </w:r>
      <w:r>
        <w:rPr>
          <w:rFonts w:hint="eastAsia" w:ascii="仿宋_GB2312" w:hAnsi="仿宋_GB2312" w:eastAsia="仿宋_GB2312" w:cs="仿宋_GB2312"/>
          <w:color w:val="000000"/>
          <w:spacing w:val="2"/>
          <w:sz w:val="32"/>
          <w:szCs w:val="22"/>
          <w:lang w:val="en-US" w:eastAsia="en-US" w:bidi="ar-SA"/>
        </w:rPr>
        <w:t>预案实施应急工作，处置矿山事故，最大限度地避免和减少人员</w:t>
      </w:r>
      <w:r>
        <w:rPr>
          <w:rFonts w:hint="eastAsia" w:ascii="仿宋_GB2312" w:hAnsi="仿宋_GB2312" w:eastAsia="仿宋_GB2312" w:cs="仿宋_GB2312"/>
          <w:color w:val="000000"/>
          <w:sz w:val="32"/>
          <w:szCs w:val="22"/>
          <w:lang w:val="en-US" w:eastAsia="en-US" w:bidi="ar-SA"/>
        </w:rPr>
        <w:t>伤亡，努力减少国家和人民生命财产损失，确保社会稳定。</w:t>
      </w:r>
    </w:p>
    <w:p w14:paraId="45421B25">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2.统一领导，分级管理。在市委、市政府领导下，实行统一</w:t>
      </w:r>
      <w:r>
        <w:rPr>
          <w:rFonts w:hint="eastAsia" w:ascii="仿宋_GB2312" w:hAnsi="仿宋_GB2312" w:eastAsia="仿宋_GB2312" w:cs="仿宋_GB2312"/>
          <w:color w:val="000000"/>
          <w:spacing w:val="2"/>
          <w:sz w:val="32"/>
          <w:szCs w:val="22"/>
          <w:lang w:val="en-US" w:eastAsia="en-US" w:bidi="ar-SA"/>
        </w:rPr>
        <w:t>指挥、分级管理、分级响应。根据矿山事故的严重程度、人员伤</w:t>
      </w:r>
      <w:r>
        <w:rPr>
          <w:rFonts w:hint="eastAsia" w:ascii="仿宋_GB2312" w:hAnsi="仿宋_GB2312" w:eastAsia="仿宋_GB2312" w:cs="仿宋_GB2312"/>
          <w:color w:val="000000"/>
          <w:sz w:val="32"/>
          <w:szCs w:val="22"/>
          <w:lang w:val="en-US" w:eastAsia="en-US" w:bidi="ar-SA"/>
        </w:rPr>
        <w:t>亡和经济损失，启动相应的应急响应程序。</w:t>
      </w:r>
    </w:p>
    <w:p w14:paraId="28AD32B6">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3.分工负责，协同应对。市有关部门根据"三定"方案和本预</w:t>
      </w:r>
      <w:r>
        <w:rPr>
          <w:rFonts w:hint="eastAsia" w:ascii="仿宋_GB2312" w:hAnsi="仿宋_GB2312" w:eastAsia="仿宋_GB2312" w:cs="仿宋_GB2312"/>
          <w:color w:val="000000"/>
          <w:spacing w:val="2"/>
          <w:sz w:val="32"/>
          <w:szCs w:val="22"/>
          <w:lang w:val="en-US" w:eastAsia="en-US" w:bidi="ar-SA"/>
        </w:rPr>
        <w:t>案规定的职责，各负其责，密切配合，团结协作，共同做好矿山</w:t>
      </w:r>
      <w:r>
        <w:rPr>
          <w:rFonts w:hint="eastAsia" w:ascii="仿宋_GB2312" w:hAnsi="仿宋_GB2312" w:eastAsia="仿宋_GB2312" w:cs="仿宋_GB2312"/>
          <w:color w:val="000000"/>
          <w:sz w:val="32"/>
          <w:szCs w:val="22"/>
          <w:lang w:val="en-US" w:eastAsia="en-US" w:bidi="ar-SA"/>
        </w:rPr>
        <w:t>事故应急救援工作。</w:t>
      </w:r>
    </w:p>
    <w:p w14:paraId="4A5A910A">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4.科学决策，专业救援。加强应急救援技术运用，加强矿山专家队伍和专业应急救援队伍建设，在事故发生单位开展自救工作的同时，依靠科学决策和专业抢险救援骨干力量、先进设备，</w:t>
      </w:r>
      <w:r>
        <w:rPr>
          <w:rFonts w:hint="eastAsia" w:ascii="仿宋_GB2312" w:hAnsi="仿宋_GB2312" w:eastAsia="仿宋_GB2312" w:cs="仿宋_GB2312"/>
          <w:color w:val="000000"/>
          <w:sz w:val="32"/>
          <w:szCs w:val="22"/>
          <w:lang w:val="en-US" w:eastAsia="en-US" w:bidi="ar-SA"/>
        </w:rPr>
        <w:t>圆满妥善完成应急救援工作。</w:t>
      </w:r>
    </w:p>
    <w:p w14:paraId="7D5CD2A6">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二、应急组织体系及职责</w:t>
      </w:r>
    </w:p>
    <w:p w14:paraId="6A9B866F">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成立市矿山事故应急救援指挥部（以下简称市指挥部），负</w:t>
      </w:r>
      <w:r>
        <w:rPr>
          <w:rFonts w:hint="eastAsia" w:ascii="仿宋_GB2312" w:hAnsi="仿宋_GB2312" w:eastAsia="仿宋_GB2312" w:cs="仿宋_GB2312"/>
          <w:color w:val="000000"/>
          <w:sz w:val="32"/>
          <w:szCs w:val="22"/>
          <w:lang w:val="en-US" w:eastAsia="en-US" w:bidi="ar-SA"/>
        </w:rPr>
        <w:t>责组织、指挥全市矿山事故的应急救援工作。</w:t>
      </w:r>
    </w:p>
    <w:p w14:paraId="389C2595">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（一）市应急指挥部</w:t>
      </w:r>
    </w:p>
    <w:p w14:paraId="42246E5E">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1.市指挥部组成</w:t>
      </w:r>
    </w:p>
    <w:p w14:paraId="697AC669">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总指挥：市政府分管安全生产工作的副市长（必要时由市政</w:t>
      </w:r>
      <w:r>
        <w:rPr>
          <w:rFonts w:hint="eastAsia" w:ascii="仿宋_GB2312" w:hAnsi="仿宋_GB2312" w:eastAsia="仿宋_GB2312" w:cs="仿宋_GB2312"/>
          <w:color w:val="000000"/>
          <w:sz w:val="32"/>
          <w:szCs w:val="22"/>
          <w:lang w:val="en-US" w:eastAsia="en-US" w:bidi="ar-SA"/>
        </w:rPr>
        <w:t>府主要领导担任）</w:t>
      </w:r>
    </w:p>
    <w:p w14:paraId="0A13CE1D">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副总指挥：市府办分管安全生产工作的副主任、市应急管理</w:t>
      </w:r>
      <w:bookmarkStart w:id="4" w:name="br1_5"/>
      <w:bookmarkEnd w:id="4"/>
      <w:r>
        <w:rPr>
          <w:rFonts w:hint="eastAsia" w:ascii="仿宋_GB2312" w:hAnsi="仿宋_GB2312" w:eastAsia="仿宋_GB2312" w:cs="仿宋_GB2312"/>
          <w:color w:val="000000"/>
          <w:sz w:val="32"/>
          <w:szCs w:val="22"/>
          <w:lang w:val="en-US" w:eastAsia="en-US" w:bidi="ar-SA"/>
        </w:rPr>
        <w:t>局局长、市公安局副局长</w:t>
      </w:r>
    </w:p>
    <w:p w14:paraId="1AC5A6AB">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成员：市应急管理局、公安局、消防救援大队、自然资源和</w:t>
      </w:r>
      <w:r>
        <w:rPr>
          <w:rFonts w:hint="eastAsia" w:ascii="仿宋_GB2312" w:hAnsi="仿宋_GB2312" w:eastAsia="仿宋_GB2312" w:cs="仿宋_GB2312"/>
          <w:color w:val="000000"/>
          <w:spacing w:val="2"/>
          <w:sz w:val="32"/>
          <w:szCs w:val="22"/>
          <w:lang w:val="en-US" w:eastAsia="en-US" w:bidi="ar-SA"/>
        </w:rPr>
        <w:t>规划局、卫生健康局、气象局、商务局、供销总社、交通运输局、民政局、生态环境东阳分局、市场监管局、财政局、宣传部、纪委（监委）、供电公司、电信公司、移动东阳</w:t>
      </w:r>
      <w:r>
        <w:rPr>
          <w:rFonts w:hint="eastAsia" w:ascii="仿宋_GB2312" w:hAnsi="仿宋_GB2312" w:eastAsia="仿宋_GB2312" w:cs="仿宋_GB2312"/>
          <w:color w:val="000000"/>
          <w:sz w:val="32"/>
          <w:szCs w:val="22"/>
          <w:lang w:val="en-US" w:eastAsia="en-US" w:bidi="ar-SA"/>
        </w:rPr>
        <w:t>分公司、联通东阳分公司等部门（单位）负责人。</w:t>
      </w:r>
    </w:p>
    <w:p w14:paraId="4B829DDF">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2.市指挥部主要职责</w:t>
      </w:r>
    </w:p>
    <w:p w14:paraId="3EE8A5E8">
      <w:pPr>
        <w:keepNext w:val="0"/>
        <w:keepLines w:val="0"/>
        <w:pageBreakBefore w:val="0"/>
        <w:widowControl w:val="0"/>
        <w:kinsoku/>
        <w:wordWrap/>
        <w:overflowPunct/>
        <w:topLinePunct w:val="0"/>
        <w:autoSpaceDE/>
        <w:autoSpaceDN/>
        <w:bidi w:val="0"/>
        <w:adjustRightInd/>
        <w:snapToGrid/>
        <w:spacing w:after="0" w:line="600" w:lineRule="exact"/>
        <w:ind w:left="0" w:right="0" w:firstLine="60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9"/>
          <w:sz w:val="32"/>
          <w:szCs w:val="22"/>
          <w:lang w:val="en-US" w:eastAsia="en-US" w:bidi="ar-SA"/>
        </w:rPr>
        <w:t>（1）贯彻落实市委、市政府关于矿山事故应急救援指示精神，</w:t>
      </w:r>
      <w:r>
        <w:rPr>
          <w:rFonts w:hint="eastAsia" w:ascii="仿宋_GB2312" w:hAnsi="仿宋_GB2312" w:eastAsia="仿宋_GB2312" w:cs="仿宋_GB2312"/>
          <w:color w:val="000000"/>
          <w:sz w:val="32"/>
          <w:szCs w:val="22"/>
          <w:lang w:val="en-US" w:eastAsia="en-US" w:bidi="ar-SA"/>
        </w:rPr>
        <w:t>组织领导、指挥协调全市矿山事故应急救援工作。</w:t>
      </w:r>
    </w:p>
    <w:p w14:paraId="1E9C8F8A">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（2）紧急调度应急储备物资、交通工具以及相关设施设备，指挥、协调有关部门和单位参与矿山事故应急救援工作。</w:t>
      </w:r>
    </w:p>
    <w:p w14:paraId="4CDF8390">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（3）负责市矿山事故应急预案的制定、修订和管理。</w:t>
      </w:r>
    </w:p>
    <w:p w14:paraId="163E4AF5">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（4）组织全市矿山事故应急救援演练。</w:t>
      </w:r>
    </w:p>
    <w:p w14:paraId="22F2BB62">
      <w:pPr>
        <w:keepNext w:val="0"/>
        <w:keepLines w:val="0"/>
        <w:pageBreakBefore w:val="0"/>
        <w:widowControl w:val="0"/>
        <w:kinsoku/>
        <w:wordWrap/>
        <w:overflowPunct/>
        <w:topLinePunct w:val="0"/>
        <w:autoSpaceDE/>
        <w:autoSpaceDN/>
        <w:bidi w:val="0"/>
        <w:adjustRightInd/>
        <w:snapToGrid/>
        <w:spacing w:after="0" w:line="600" w:lineRule="exact"/>
        <w:ind w:left="0" w:right="0" w:firstLine="67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9"/>
          <w:sz w:val="32"/>
          <w:szCs w:val="22"/>
          <w:lang w:val="en-US" w:eastAsia="en-US" w:bidi="ar-SA"/>
        </w:rPr>
        <w:t>（5）组织矿山安全生产人员和事故应急救援人员的安全知</w:t>
      </w:r>
      <w:r>
        <w:rPr>
          <w:rFonts w:hint="eastAsia" w:ascii="仿宋_GB2312" w:hAnsi="仿宋_GB2312" w:eastAsia="仿宋_GB2312" w:cs="仿宋_GB2312"/>
          <w:color w:val="000000"/>
          <w:sz w:val="32"/>
          <w:szCs w:val="22"/>
          <w:lang w:val="en-US" w:eastAsia="en-US" w:bidi="ar-SA"/>
        </w:rPr>
        <w:t>识、专业知识、救援技术的培训，开展矿山安全知识宣传。</w:t>
      </w:r>
    </w:p>
    <w:p w14:paraId="5C47F48F">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（6）决定其他有关重大事项。</w:t>
      </w:r>
    </w:p>
    <w:p w14:paraId="3A2891B4">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3.成员单位职责</w:t>
      </w:r>
    </w:p>
    <w:p w14:paraId="77C33BF5">
      <w:pPr>
        <w:keepNext w:val="0"/>
        <w:keepLines w:val="0"/>
        <w:pageBreakBefore w:val="0"/>
        <w:widowControl w:val="0"/>
        <w:kinsoku/>
        <w:wordWrap/>
        <w:overflowPunct/>
        <w:topLinePunct w:val="0"/>
        <w:autoSpaceDE/>
        <w:autoSpaceDN/>
        <w:bidi w:val="0"/>
        <w:adjustRightInd/>
        <w:snapToGrid/>
        <w:spacing w:after="0" w:line="600" w:lineRule="exact"/>
        <w:ind w:left="0" w:right="0" w:firstLine="62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（1）市应急管理局：负责报告矿山事故；向市指挥部建议启</w:t>
      </w:r>
      <w:r>
        <w:rPr>
          <w:rFonts w:hint="eastAsia" w:ascii="仿宋_GB2312" w:hAnsi="仿宋_GB2312" w:eastAsia="仿宋_GB2312" w:cs="仿宋_GB2312"/>
          <w:color w:val="000000"/>
          <w:spacing w:val="2"/>
          <w:sz w:val="32"/>
          <w:szCs w:val="22"/>
          <w:lang w:val="en-US" w:eastAsia="en-US" w:bidi="ar-SA"/>
        </w:rPr>
        <w:t>动本预案；监督指导镇乡人民政府、街道办事处和矿山企业制定应急救援预案；组织全市矿山事故应急救援模拟演练；组建矿山事故应急救援专家组，组织专家开展应急救援技术咨询；组织开</w:t>
      </w:r>
      <w:r>
        <w:rPr>
          <w:rFonts w:hint="eastAsia" w:ascii="仿宋_GB2312" w:hAnsi="仿宋_GB2312" w:eastAsia="仿宋_GB2312" w:cs="仿宋_GB2312"/>
          <w:color w:val="000000"/>
          <w:spacing w:val="-3"/>
          <w:sz w:val="32"/>
          <w:szCs w:val="22"/>
          <w:lang w:val="en-US" w:eastAsia="en-US" w:bidi="ar-SA"/>
        </w:rPr>
        <w:t>展矿山事故调查；负责调拨专业应急救援队伍，指定紧急避难点。</w:t>
      </w:r>
    </w:p>
    <w:p w14:paraId="19FA418B">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（2）市公安局：负责组织事故可能危及区域内人员的疏散撤</w:t>
      </w:r>
      <w:r>
        <w:rPr>
          <w:rFonts w:hint="eastAsia" w:ascii="仿宋_GB2312" w:hAnsi="仿宋_GB2312" w:eastAsia="仿宋_GB2312" w:cs="仿宋_GB2312"/>
          <w:color w:val="000000"/>
          <w:spacing w:val="2"/>
          <w:sz w:val="32"/>
          <w:szCs w:val="22"/>
          <w:lang w:val="en-US" w:eastAsia="en-US" w:bidi="ar-SA"/>
        </w:rPr>
        <w:t>离，负责组织协调事故相关区域的现场警戒、交通管制、治安保</w:t>
      </w:r>
      <w:bookmarkStart w:id="5" w:name="br1_6"/>
      <w:bookmarkEnd w:id="5"/>
      <w:r>
        <w:rPr>
          <w:rFonts w:hint="eastAsia" w:ascii="仿宋_GB2312" w:hAnsi="仿宋_GB2312" w:eastAsia="仿宋_GB2312" w:cs="仿宋_GB2312"/>
          <w:color w:val="000000"/>
          <w:sz w:val="32"/>
          <w:szCs w:val="22"/>
          <w:lang w:val="en-US" w:eastAsia="en-US" w:bidi="ar-SA"/>
        </w:rPr>
        <w:t>卫等，参与事故抢险和依法调查处理。</w:t>
      </w:r>
    </w:p>
    <w:p w14:paraId="2CF39E49">
      <w:pPr>
        <w:keepNext w:val="0"/>
        <w:keepLines w:val="0"/>
        <w:pageBreakBefore w:val="0"/>
        <w:widowControl w:val="0"/>
        <w:kinsoku/>
        <w:wordWrap/>
        <w:overflowPunct/>
        <w:topLinePunct w:val="0"/>
        <w:autoSpaceDE/>
        <w:autoSpaceDN/>
        <w:bidi w:val="0"/>
        <w:adjustRightInd/>
        <w:snapToGrid/>
        <w:spacing w:after="0" w:line="600" w:lineRule="exact"/>
        <w:ind w:left="0" w:right="0" w:firstLine="62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（3）市消防救援大队：负责事故现场被困人员的搜救，并协</w:t>
      </w:r>
      <w:r>
        <w:rPr>
          <w:rFonts w:hint="eastAsia" w:ascii="仿宋_GB2312" w:hAnsi="仿宋_GB2312" w:eastAsia="仿宋_GB2312" w:cs="仿宋_GB2312"/>
          <w:color w:val="000000"/>
          <w:sz w:val="32"/>
          <w:szCs w:val="22"/>
          <w:lang w:val="en-US" w:eastAsia="en-US" w:bidi="ar-SA"/>
        </w:rPr>
        <w:t>助实施应急救援工作。</w:t>
      </w:r>
    </w:p>
    <w:p w14:paraId="287E981A">
      <w:pPr>
        <w:keepNext w:val="0"/>
        <w:keepLines w:val="0"/>
        <w:pageBreakBefore w:val="0"/>
        <w:widowControl w:val="0"/>
        <w:kinsoku/>
        <w:wordWrap/>
        <w:overflowPunct/>
        <w:topLinePunct w:val="0"/>
        <w:autoSpaceDE/>
        <w:autoSpaceDN/>
        <w:bidi w:val="0"/>
        <w:adjustRightInd/>
        <w:snapToGrid/>
        <w:spacing w:after="0" w:line="600" w:lineRule="exact"/>
        <w:ind w:left="0" w:right="0" w:firstLine="61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7"/>
          <w:sz w:val="32"/>
          <w:szCs w:val="22"/>
          <w:lang w:val="en-US" w:eastAsia="en-US" w:bidi="ar-SA"/>
        </w:rPr>
        <w:t>（4）市自然资源和规划局：负责提供事故区域相关地质资料，</w:t>
      </w:r>
      <w:r>
        <w:rPr>
          <w:rFonts w:hint="eastAsia" w:ascii="仿宋_GB2312" w:hAnsi="仿宋_GB2312" w:eastAsia="仿宋_GB2312" w:cs="仿宋_GB2312"/>
          <w:color w:val="000000"/>
          <w:sz w:val="32"/>
          <w:szCs w:val="22"/>
          <w:lang w:val="en-US" w:eastAsia="en-US" w:bidi="ar-SA"/>
        </w:rPr>
        <w:t>参与事故抢险方案的制订以及事故现场抢险救援指导工作。</w:t>
      </w:r>
    </w:p>
    <w:p w14:paraId="08971442">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（5）市卫生健康局：负责组织对矿山事故伤员的医疗救护，</w:t>
      </w:r>
      <w:r>
        <w:rPr>
          <w:rFonts w:hint="eastAsia" w:ascii="仿宋_GB2312" w:hAnsi="仿宋_GB2312" w:eastAsia="仿宋_GB2312" w:cs="仿宋_GB2312"/>
          <w:color w:val="000000"/>
          <w:spacing w:val="2"/>
          <w:sz w:val="32"/>
          <w:szCs w:val="22"/>
          <w:lang w:val="en-US" w:eastAsia="en-US" w:bidi="ar-SA"/>
        </w:rPr>
        <w:t>根据就近原则和医疗能力确定救治医院，指导救治医院储备相应的医疗器械和急救药品；组织开展现场救护及伤员转运，做好伤</w:t>
      </w:r>
      <w:r>
        <w:rPr>
          <w:rFonts w:hint="eastAsia" w:ascii="仿宋_GB2312" w:hAnsi="仿宋_GB2312" w:eastAsia="仿宋_GB2312" w:cs="仿宋_GB2312"/>
          <w:color w:val="000000"/>
          <w:sz w:val="32"/>
          <w:szCs w:val="22"/>
          <w:lang w:val="en-US" w:eastAsia="en-US" w:bidi="ar-SA"/>
        </w:rPr>
        <w:t>员分检、救治工作。</w:t>
      </w:r>
    </w:p>
    <w:p w14:paraId="7CCF6BAE">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（6）市气象局：负责提供应急气象服务；为事故现场提供风</w:t>
      </w:r>
      <w:r>
        <w:rPr>
          <w:rFonts w:hint="eastAsia" w:ascii="仿宋_GB2312" w:hAnsi="仿宋_GB2312" w:eastAsia="仿宋_GB2312" w:cs="仿宋_GB2312"/>
          <w:color w:val="000000"/>
          <w:sz w:val="32"/>
          <w:szCs w:val="22"/>
          <w:lang w:val="en-US" w:eastAsia="en-US" w:bidi="ar-SA"/>
        </w:rPr>
        <w:t>向、风速、温度、气压、湿度、雨量等最新气象资料。</w:t>
      </w:r>
    </w:p>
    <w:p w14:paraId="67D28266">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（7）市商务局、市供销合作总社：负责矿山事故应急救援物</w:t>
      </w:r>
      <w:r>
        <w:rPr>
          <w:rFonts w:hint="eastAsia" w:ascii="仿宋_GB2312" w:hAnsi="仿宋_GB2312" w:eastAsia="仿宋_GB2312" w:cs="仿宋_GB2312"/>
          <w:color w:val="000000"/>
          <w:sz w:val="32"/>
          <w:szCs w:val="22"/>
          <w:lang w:val="en-US" w:eastAsia="en-US" w:bidi="ar-SA"/>
        </w:rPr>
        <w:t>资和生活必需品的保障工作。</w:t>
      </w:r>
    </w:p>
    <w:p w14:paraId="781F1A14">
      <w:pPr>
        <w:keepNext w:val="0"/>
        <w:keepLines w:val="0"/>
        <w:pageBreakBefore w:val="0"/>
        <w:widowControl w:val="0"/>
        <w:kinsoku/>
        <w:wordWrap/>
        <w:overflowPunct/>
        <w:topLinePunct w:val="0"/>
        <w:autoSpaceDE/>
        <w:autoSpaceDN/>
        <w:bidi w:val="0"/>
        <w:adjustRightInd/>
        <w:snapToGrid/>
        <w:spacing w:after="0" w:line="600" w:lineRule="exact"/>
        <w:ind w:left="0" w:right="0" w:firstLine="61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7"/>
          <w:sz w:val="32"/>
          <w:szCs w:val="22"/>
          <w:lang w:val="en-US" w:eastAsia="en-US" w:bidi="ar-SA"/>
        </w:rPr>
        <w:t>（8）市交通运输局：负责协调抢险运输单位，组织抢险物资、</w:t>
      </w:r>
      <w:r>
        <w:rPr>
          <w:rFonts w:hint="eastAsia" w:ascii="仿宋_GB2312" w:hAnsi="仿宋_GB2312" w:eastAsia="仿宋_GB2312" w:cs="仿宋_GB2312"/>
          <w:color w:val="000000"/>
          <w:sz w:val="32"/>
          <w:szCs w:val="22"/>
          <w:lang w:val="en-US" w:eastAsia="en-US" w:bidi="ar-SA"/>
        </w:rPr>
        <w:t>抢险人员和疏散人员的运送。</w:t>
      </w:r>
    </w:p>
    <w:p w14:paraId="20DBABBC">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（9）市民政局：组织协调矿山事故中伤亡人员的抚恤、救济</w:t>
      </w:r>
      <w:r>
        <w:rPr>
          <w:rFonts w:hint="eastAsia" w:ascii="仿宋_GB2312" w:hAnsi="仿宋_GB2312" w:eastAsia="仿宋_GB2312" w:cs="仿宋_GB2312"/>
          <w:color w:val="000000"/>
          <w:sz w:val="32"/>
          <w:szCs w:val="22"/>
          <w:lang w:val="en-US" w:eastAsia="en-US" w:bidi="ar-SA"/>
        </w:rPr>
        <w:t>等善后事宜。</w:t>
      </w:r>
    </w:p>
    <w:p w14:paraId="3B81AB1E">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（10）生态环境东阳分局：负责对事故区域开展</w:t>
      </w:r>
      <w:r>
        <w:rPr>
          <w:rFonts w:hint="eastAsia" w:ascii="仿宋_GB2312" w:hAnsi="仿宋_GB2312" w:eastAsia="仿宋_GB2312" w:cs="仿宋_GB2312"/>
          <w:color w:val="000000"/>
          <w:sz w:val="32"/>
          <w:szCs w:val="22"/>
          <w:lang w:val="en-US" w:eastAsia="en-US" w:bidi="ar-SA"/>
        </w:rPr>
        <w:t>环境应急监测、分析，提出污染处置建议。</w:t>
      </w:r>
    </w:p>
    <w:p w14:paraId="187BCDCE">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（11）市财政局：负责落实矿山事故应急救援工作经费。</w:t>
      </w:r>
    </w:p>
    <w:p w14:paraId="7F2D634B">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（12）市委宣传部：负责指导、协调矿山事故应急处置工作</w:t>
      </w:r>
      <w:r>
        <w:rPr>
          <w:rFonts w:hint="eastAsia" w:ascii="仿宋_GB2312" w:hAnsi="仿宋_GB2312" w:eastAsia="仿宋_GB2312" w:cs="仿宋_GB2312"/>
          <w:color w:val="000000"/>
          <w:sz w:val="32"/>
          <w:szCs w:val="22"/>
          <w:lang w:val="en-US" w:eastAsia="en-US" w:bidi="ar-SA"/>
        </w:rPr>
        <w:t>的宣传报道、新闻发布和舆论引导等工作。</w:t>
      </w:r>
    </w:p>
    <w:p w14:paraId="09AC0999">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（13）市纪委（监委）：负责对各镇乡人民政府、街道办事</w:t>
      </w:r>
      <w:r>
        <w:rPr>
          <w:rFonts w:hint="eastAsia" w:ascii="仿宋_GB2312" w:hAnsi="仿宋_GB2312" w:eastAsia="仿宋_GB2312" w:cs="仿宋_GB2312"/>
          <w:color w:val="000000"/>
          <w:spacing w:val="2"/>
          <w:sz w:val="32"/>
          <w:szCs w:val="22"/>
          <w:lang w:val="en-US" w:eastAsia="en-US" w:bidi="ar-SA"/>
        </w:rPr>
        <w:t>处和市级有关部门、单位履行应急救援职责工作效能，以及救援</w:t>
      </w:r>
      <w:bookmarkStart w:id="6" w:name="br1_7"/>
      <w:bookmarkEnd w:id="6"/>
      <w:r>
        <w:rPr>
          <w:rFonts w:hint="eastAsia" w:ascii="仿宋_GB2312" w:hAnsi="仿宋_GB2312" w:eastAsia="仿宋_GB2312" w:cs="仿宋_GB2312"/>
          <w:color w:val="000000"/>
          <w:spacing w:val="-3"/>
          <w:sz w:val="32"/>
          <w:szCs w:val="22"/>
          <w:lang w:val="en-US" w:eastAsia="en-US" w:bidi="ar-SA"/>
        </w:rPr>
        <w:t>资金、物资使用情况进行监督检查，及时查处违反本预案的行为；</w:t>
      </w:r>
      <w:r>
        <w:rPr>
          <w:rFonts w:hint="eastAsia" w:ascii="仿宋_GB2312" w:hAnsi="仿宋_GB2312" w:eastAsia="仿宋_GB2312" w:cs="仿宋_GB2312"/>
          <w:color w:val="000000"/>
          <w:sz w:val="32"/>
          <w:szCs w:val="22"/>
          <w:lang w:val="en-US" w:eastAsia="en-US" w:bidi="ar-SA"/>
        </w:rPr>
        <w:t>参与事故的调查处理，并依法追究违法违纪人员责任。</w:t>
      </w:r>
    </w:p>
    <w:p w14:paraId="323D4CDE">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（14）国网东阳供电公司：负责矿山事故应急救援工作中电</w:t>
      </w:r>
      <w:r>
        <w:rPr>
          <w:rFonts w:hint="eastAsia" w:ascii="仿宋_GB2312" w:hAnsi="仿宋_GB2312" w:eastAsia="仿宋_GB2312" w:cs="仿宋_GB2312"/>
          <w:color w:val="000000"/>
          <w:sz w:val="32"/>
          <w:szCs w:val="22"/>
          <w:lang w:val="en-US" w:eastAsia="en-US" w:bidi="ar-SA"/>
        </w:rPr>
        <w:t>力供应与保障。</w:t>
      </w:r>
    </w:p>
    <w:p w14:paraId="2A09E079">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（15）电信公司、移动公司、联通公司</w:t>
      </w:r>
      <w:r>
        <w:rPr>
          <w:rFonts w:hint="eastAsia" w:ascii="仿宋_GB2312" w:hAnsi="仿宋_GB2312" w:eastAsia="仿宋_GB2312" w:cs="仿宋_GB2312"/>
          <w:color w:val="000000"/>
          <w:sz w:val="32"/>
          <w:szCs w:val="22"/>
          <w:lang w:val="en-US" w:eastAsia="en-US" w:bidi="ar-SA"/>
        </w:rPr>
        <w:t>等通信运营商：负责矿山事故应急救援通信保障。</w:t>
      </w:r>
    </w:p>
    <w:p w14:paraId="358D5135">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（二）市应急指挥部办公室</w:t>
      </w:r>
    </w:p>
    <w:p w14:paraId="67D270FC">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1.市应急指挥部办公室组成</w:t>
      </w:r>
    </w:p>
    <w:p w14:paraId="16653675">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市指挥部办公室设在市应急管理局，负责日常工作。办公室由市指挥部成员单位派员组成，办公室主任由市应急管理局局长</w:t>
      </w:r>
      <w:r>
        <w:rPr>
          <w:rFonts w:hint="eastAsia" w:ascii="仿宋_GB2312" w:hAnsi="仿宋_GB2312" w:eastAsia="仿宋_GB2312" w:cs="仿宋_GB2312"/>
          <w:color w:val="000000"/>
          <w:spacing w:val="-1"/>
          <w:sz w:val="32"/>
          <w:szCs w:val="22"/>
          <w:lang w:val="en-US" w:eastAsia="en-US" w:bidi="ar-SA"/>
        </w:rPr>
        <w:t>担任。</w:t>
      </w:r>
    </w:p>
    <w:p w14:paraId="118CE663">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2.市应急指挥部办公室职责</w:t>
      </w:r>
    </w:p>
    <w:p w14:paraId="3875A33C">
      <w:pPr>
        <w:keepNext w:val="0"/>
        <w:keepLines w:val="0"/>
        <w:pageBreakBefore w:val="0"/>
        <w:widowControl w:val="0"/>
        <w:kinsoku/>
        <w:wordWrap/>
        <w:overflowPunct/>
        <w:topLinePunct w:val="0"/>
        <w:autoSpaceDE/>
        <w:autoSpaceDN/>
        <w:bidi w:val="0"/>
        <w:adjustRightInd/>
        <w:snapToGrid/>
        <w:spacing w:after="0" w:line="600" w:lineRule="exact"/>
        <w:ind w:left="0" w:right="0" w:firstLine="61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7"/>
          <w:sz w:val="32"/>
          <w:szCs w:val="22"/>
          <w:lang w:val="en-US" w:eastAsia="en-US" w:bidi="ar-SA"/>
        </w:rPr>
        <w:t>（1）负责全市矿山安全生产工作的组织、协调、指导和监督。</w:t>
      </w:r>
    </w:p>
    <w:p w14:paraId="704D4DAA">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（2）汇集、上报矿山安全事故信息和应急救援进展情况。</w:t>
      </w:r>
    </w:p>
    <w:p w14:paraId="31D5DDE9">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（3）提出矿山应急工作方案、措施和建议。</w:t>
      </w:r>
    </w:p>
    <w:p w14:paraId="7DF9AD22">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（4）贯彻市指挥部的指示，落实相关部署，协调指挥部成员</w:t>
      </w:r>
    </w:p>
    <w:p w14:paraId="41574BCF">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单位、事发地的镇乡（街道）、矿山事故现场指挥部以及省外、</w:t>
      </w:r>
      <w:r>
        <w:rPr>
          <w:rFonts w:hint="eastAsia" w:ascii="仿宋_GB2312" w:hAnsi="仿宋_GB2312" w:eastAsia="仿宋_GB2312" w:cs="仿宋_GB2312"/>
          <w:color w:val="000000"/>
          <w:sz w:val="32"/>
          <w:szCs w:val="22"/>
          <w:lang w:val="en-US" w:eastAsia="en-US" w:bidi="ar-SA"/>
        </w:rPr>
        <w:t>省内矿山救护专业队伍的应急工作。</w:t>
      </w:r>
    </w:p>
    <w:p w14:paraId="588CA311">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（5）指导矿山事故应急救援宣传工作，对有关新闻稿进行审</w:t>
      </w:r>
      <w:r>
        <w:rPr>
          <w:rFonts w:hint="eastAsia" w:ascii="仿宋_GB2312" w:hAnsi="仿宋_GB2312" w:eastAsia="仿宋_GB2312" w:cs="仿宋_GB2312"/>
          <w:color w:val="000000"/>
          <w:spacing w:val="2"/>
          <w:sz w:val="32"/>
          <w:szCs w:val="22"/>
          <w:lang w:val="en-US" w:eastAsia="en-US" w:bidi="ar-SA"/>
        </w:rPr>
        <w:t>核。</w:t>
      </w:r>
    </w:p>
    <w:p w14:paraId="1B61E306">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（6）对全市矿山事故应急救援工作进行督导和检查。</w:t>
      </w:r>
    </w:p>
    <w:p w14:paraId="0AAA8689">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（7）承担指挥部日常事务和交办的其他事项。</w:t>
      </w:r>
    </w:p>
    <w:p w14:paraId="2EC2A1A4">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（三）事故现场指挥部</w:t>
      </w:r>
    </w:p>
    <w:p w14:paraId="66E21CEC">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根据矿山事故应急救援工作需要，市指挥部可下设事故现场</w:t>
      </w:r>
      <w:bookmarkStart w:id="7" w:name="br1_8"/>
      <w:bookmarkEnd w:id="7"/>
      <w:r>
        <w:rPr>
          <w:rFonts w:hint="eastAsia" w:ascii="仿宋_GB2312" w:hAnsi="仿宋_GB2312" w:eastAsia="仿宋_GB2312" w:cs="仿宋_GB2312"/>
          <w:color w:val="000000"/>
          <w:sz w:val="32"/>
          <w:szCs w:val="22"/>
          <w:lang w:val="en-US" w:eastAsia="en-US" w:bidi="ar-SA"/>
        </w:rPr>
        <w:t>指挥部。</w:t>
      </w:r>
    </w:p>
    <w:p w14:paraId="28663D34">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1.事故现场指挥部的组成</w:t>
      </w:r>
    </w:p>
    <w:p w14:paraId="493C6BEE">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发生矿山事故后，事故现场指挥部由市指挥部根据事故性质和救援工作的实际，指定相关成员单位、镇乡（街道）领导和矿</w:t>
      </w:r>
      <w:r>
        <w:rPr>
          <w:rFonts w:hint="eastAsia" w:ascii="仿宋_GB2312" w:hAnsi="仿宋_GB2312" w:eastAsia="仿宋_GB2312" w:cs="仿宋_GB2312"/>
          <w:color w:val="000000"/>
          <w:spacing w:val="-3"/>
          <w:sz w:val="32"/>
          <w:szCs w:val="22"/>
          <w:lang w:val="en-US" w:eastAsia="en-US" w:bidi="ar-SA"/>
        </w:rPr>
        <w:t>山救援专家组成。事故现场指挥部指挥长由市指挥部总指挥指定。</w:t>
      </w:r>
    </w:p>
    <w:p w14:paraId="7082D4D4">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2.事故现场指挥部主要工作职责</w:t>
      </w:r>
    </w:p>
    <w:p w14:paraId="75F6F11F">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（1）根据事故现场情况制定救援工作方案，并报请市指挥部</w:t>
      </w:r>
      <w:r>
        <w:rPr>
          <w:rFonts w:hint="eastAsia" w:ascii="仿宋_GB2312" w:hAnsi="仿宋_GB2312" w:eastAsia="仿宋_GB2312" w:cs="仿宋_GB2312"/>
          <w:color w:val="000000"/>
          <w:sz w:val="32"/>
          <w:szCs w:val="22"/>
          <w:lang w:val="en-US" w:eastAsia="en-US" w:bidi="ar-SA"/>
        </w:rPr>
        <w:t>批准后组织实施。</w:t>
      </w:r>
    </w:p>
    <w:p w14:paraId="5D8872EE">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（2）协调各救援队伍之间，事发地的镇乡（街道）与市有关</w:t>
      </w:r>
      <w:r>
        <w:rPr>
          <w:rFonts w:hint="eastAsia" w:ascii="仿宋_GB2312" w:hAnsi="仿宋_GB2312" w:eastAsia="仿宋_GB2312" w:cs="仿宋_GB2312"/>
          <w:color w:val="000000"/>
          <w:sz w:val="32"/>
          <w:szCs w:val="22"/>
          <w:lang w:val="en-US" w:eastAsia="en-US" w:bidi="ar-SA"/>
        </w:rPr>
        <w:t>部门（单位）之间的关系。</w:t>
      </w:r>
    </w:p>
    <w:p w14:paraId="45A18733">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（3）指导矿山事故应急救援宣传工作，对有关新闻稿进行初</w:t>
      </w:r>
      <w:r>
        <w:rPr>
          <w:rFonts w:hint="eastAsia" w:ascii="仿宋_GB2312" w:hAnsi="仿宋_GB2312" w:eastAsia="仿宋_GB2312" w:cs="仿宋_GB2312"/>
          <w:color w:val="000000"/>
          <w:spacing w:val="2"/>
          <w:sz w:val="32"/>
          <w:szCs w:val="22"/>
          <w:lang w:val="en-US" w:eastAsia="en-US" w:bidi="ar-SA"/>
        </w:rPr>
        <w:t>审。</w:t>
      </w:r>
    </w:p>
    <w:p w14:paraId="63288E3F">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（4）处理矿山事故发生后的其他突发事件。</w:t>
      </w:r>
    </w:p>
    <w:p w14:paraId="3C924334">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3.现场救援专业组及职责</w:t>
      </w:r>
    </w:p>
    <w:p w14:paraId="5F2FD35F">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pacing w:val="2"/>
          <w:sz w:val="32"/>
          <w:szCs w:val="22"/>
          <w:lang w:val="en-US" w:eastAsia="zh-CN" w:bidi="ar-SA"/>
        </w:rPr>
      </w:pPr>
      <w:r>
        <w:rPr>
          <w:rFonts w:hint="eastAsia" w:ascii="仿宋_GB2312" w:hAnsi="仿宋_GB2312" w:eastAsia="仿宋_GB2312" w:cs="仿宋_GB2312"/>
          <w:color w:val="000000"/>
          <w:spacing w:val="2"/>
          <w:sz w:val="32"/>
          <w:szCs w:val="22"/>
          <w:lang w:val="en-US" w:eastAsia="en-US" w:bidi="ar-SA"/>
        </w:rPr>
        <w:t>事故现场指挥部根据事故现场实际情况，成立下列应急救援</w:t>
      </w:r>
      <w:r>
        <w:rPr>
          <w:rFonts w:hint="eastAsia" w:ascii="仿宋_GB2312" w:hAnsi="仿宋_GB2312" w:eastAsia="仿宋_GB2312" w:cs="仿宋_GB2312"/>
          <w:color w:val="000000"/>
          <w:spacing w:val="2"/>
          <w:sz w:val="32"/>
          <w:szCs w:val="22"/>
          <w:lang w:val="en-US" w:eastAsia="zh-CN" w:bidi="ar-SA"/>
        </w:rPr>
        <w:t>。</w:t>
      </w:r>
    </w:p>
    <w:p w14:paraId="71E9BC73">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专业组：</w:t>
      </w:r>
    </w:p>
    <w:p w14:paraId="2BB26809">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（1）现场救援组：由市应急管理局牵头，市公安局、市</w:t>
      </w:r>
      <w:r>
        <w:rPr>
          <w:rFonts w:hint="eastAsia" w:ascii="仿宋_GB2312" w:hAnsi="仿宋_GB2312" w:eastAsia="仿宋_GB2312" w:cs="仿宋_GB2312"/>
          <w:color w:val="000000"/>
          <w:spacing w:val="-1"/>
          <w:sz w:val="32"/>
          <w:szCs w:val="22"/>
          <w:lang w:val="en-US" w:eastAsia="zh-CN" w:bidi="ar-SA"/>
        </w:rPr>
        <w:t>自然资源和规划局</w:t>
      </w:r>
      <w:r>
        <w:rPr>
          <w:rFonts w:hint="eastAsia" w:ascii="仿宋_GB2312" w:hAnsi="仿宋_GB2312" w:eastAsia="仿宋_GB2312" w:cs="仿宋_GB2312"/>
          <w:color w:val="000000"/>
          <w:spacing w:val="2"/>
          <w:sz w:val="32"/>
          <w:szCs w:val="22"/>
          <w:lang w:val="en-US" w:eastAsia="en-US" w:bidi="ar-SA"/>
        </w:rPr>
        <w:t>、市消防救援大队、矿山专业救援队、社会救援队</w:t>
      </w:r>
      <w:r>
        <w:rPr>
          <w:rFonts w:hint="eastAsia" w:ascii="仿宋_GB2312" w:hAnsi="仿宋_GB2312" w:eastAsia="仿宋_GB2312" w:cs="仿宋_GB2312"/>
          <w:color w:val="000000"/>
          <w:sz w:val="32"/>
          <w:szCs w:val="22"/>
          <w:lang w:val="en-US" w:eastAsia="en-US" w:bidi="ar-SA"/>
        </w:rPr>
        <w:t>等组成，负责现场处置和现场伤员的搜救等。</w:t>
      </w:r>
    </w:p>
    <w:p w14:paraId="366BE3B9">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（2）医疗救护组：由市卫生健康局牵头，调集各医疗单位组</w:t>
      </w:r>
      <w:r>
        <w:rPr>
          <w:rFonts w:hint="eastAsia" w:ascii="仿宋_GB2312" w:hAnsi="仿宋_GB2312" w:eastAsia="仿宋_GB2312" w:cs="仿宋_GB2312"/>
          <w:color w:val="000000"/>
          <w:spacing w:val="2"/>
          <w:sz w:val="32"/>
          <w:szCs w:val="22"/>
          <w:lang w:val="en-US" w:eastAsia="en-US" w:bidi="ar-SA"/>
        </w:rPr>
        <w:t>成。根据事故伤害特点实施抢救预案，在现场附近的安全区域内设立临时医疗救护点，对受伤人员进行紧急救治并护送重伤员到</w:t>
      </w:r>
      <w:r>
        <w:rPr>
          <w:rFonts w:hint="eastAsia" w:ascii="仿宋_GB2312" w:hAnsi="仿宋_GB2312" w:eastAsia="仿宋_GB2312" w:cs="仿宋_GB2312"/>
          <w:color w:val="000000"/>
          <w:sz w:val="32"/>
          <w:szCs w:val="22"/>
          <w:lang w:val="en-US" w:eastAsia="en-US" w:bidi="ar-SA"/>
        </w:rPr>
        <w:t>医院进一步治疗。</w:t>
      </w:r>
    </w:p>
    <w:p w14:paraId="69D19D98">
      <w:pPr>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5"/>
          <w:sz w:val="32"/>
          <w:szCs w:val="22"/>
          <w:lang w:val="en-US" w:eastAsia="en-US" w:bidi="ar-SA"/>
        </w:rPr>
        <w:t>（3）警戒疏散组:由市公安局牵头，市有关部门(单位)、事</w:t>
      </w:r>
      <w:bookmarkStart w:id="8" w:name="br1_9"/>
      <w:bookmarkEnd w:id="8"/>
      <w:r>
        <w:rPr>
          <w:rFonts w:hint="eastAsia" w:ascii="仿宋_GB2312" w:hAnsi="仿宋_GB2312" w:eastAsia="仿宋_GB2312" w:cs="仿宋_GB2312"/>
          <w:color w:val="000000"/>
          <w:spacing w:val="2"/>
          <w:sz w:val="32"/>
          <w:szCs w:val="22"/>
          <w:lang w:val="en-US" w:eastAsia="en-US" w:bidi="ar-SA"/>
        </w:rPr>
        <w:t>故单位和事发地的镇乡（街道）等有关人员组成。负责布置事故现场安全警戒，禁止无关人员和车辆进入危险区域，在人员疏散区域进行治安巡逻；负责对现场及周边人员进行防护指导、疏散</w:t>
      </w:r>
      <w:r>
        <w:rPr>
          <w:rFonts w:hint="eastAsia" w:ascii="仿宋_GB2312" w:hAnsi="仿宋_GB2312" w:eastAsia="仿宋_GB2312" w:cs="仿宋_GB2312"/>
          <w:color w:val="000000"/>
          <w:sz w:val="32"/>
          <w:szCs w:val="22"/>
          <w:lang w:val="en-US" w:eastAsia="en-US" w:bidi="ar-SA"/>
        </w:rPr>
        <w:t>等工作。</w:t>
      </w:r>
    </w:p>
    <w:p w14:paraId="2A5B3699">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（4）后勤保障组：由市商务局牵头，市交通运输局、市供销</w:t>
      </w:r>
      <w:r>
        <w:rPr>
          <w:rFonts w:hint="eastAsia" w:ascii="仿宋_GB2312" w:hAnsi="仿宋_GB2312" w:eastAsia="仿宋_GB2312" w:cs="仿宋_GB2312"/>
          <w:color w:val="000000"/>
          <w:spacing w:val="2"/>
          <w:sz w:val="32"/>
          <w:szCs w:val="22"/>
          <w:lang w:val="en-US" w:eastAsia="en-US" w:bidi="ar-SA"/>
        </w:rPr>
        <w:t>总社、国网东阳供电公司和事故发生地镇乡街道等组成。负责组织应急救援物资的供应和运送以及安排现场抢救人员的食宿等</w:t>
      </w:r>
      <w:r>
        <w:rPr>
          <w:rFonts w:hint="eastAsia" w:ascii="仿宋_GB2312" w:hAnsi="仿宋_GB2312" w:eastAsia="仿宋_GB2312" w:cs="仿宋_GB2312"/>
          <w:color w:val="000000"/>
          <w:sz w:val="32"/>
          <w:szCs w:val="22"/>
          <w:lang w:val="en-US" w:eastAsia="en-US" w:bidi="ar-SA"/>
        </w:rPr>
        <w:t>后勤保障工作。</w:t>
      </w:r>
    </w:p>
    <w:p w14:paraId="4272B52A">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（5）专家咨询组：由市应急管理局牵头，有关部门及专家参</w:t>
      </w:r>
      <w:r>
        <w:rPr>
          <w:rFonts w:hint="eastAsia" w:ascii="仿宋_GB2312" w:hAnsi="仿宋_GB2312" w:eastAsia="仿宋_GB2312" w:cs="仿宋_GB2312"/>
          <w:color w:val="000000"/>
          <w:spacing w:val="2"/>
          <w:sz w:val="32"/>
          <w:szCs w:val="22"/>
          <w:lang w:val="en-US" w:eastAsia="en-US" w:bidi="ar-SA"/>
        </w:rPr>
        <w:t>与组成。负责对事故应急处理提出救援方案和安全措施，为现场</w:t>
      </w:r>
      <w:r>
        <w:rPr>
          <w:rFonts w:hint="eastAsia" w:ascii="仿宋_GB2312" w:hAnsi="仿宋_GB2312" w:eastAsia="仿宋_GB2312" w:cs="仿宋_GB2312"/>
          <w:color w:val="000000"/>
          <w:sz w:val="32"/>
          <w:szCs w:val="22"/>
          <w:lang w:val="en-US" w:eastAsia="en-US" w:bidi="ar-SA"/>
        </w:rPr>
        <w:t>指挥救援工作提供技术咨询。</w:t>
      </w:r>
    </w:p>
    <w:p w14:paraId="1FA7D93B">
      <w:pPr>
        <w:keepNext w:val="0"/>
        <w:keepLines w:val="0"/>
        <w:pageBreakBefore w:val="0"/>
        <w:widowControl w:val="0"/>
        <w:kinsoku/>
        <w:wordWrap/>
        <w:overflowPunct/>
        <w:topLinePunct w:val="0"/>
        <w:autoSpaceDE/>
        <w:autoSpaceDN/>
        <w:bidi w:val="0"/>
        <w:adjustRightInd/>
        <w:snapToGrid/>
        <w:spacing w:after="0" w:line="600" w:lineRule="exact"/>
        <w:ind w:left="0" w:right="0" w:firstLine="636"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（6）</w:t>
      </w:r>
      <w:r>
        <w:rPr>
          <w:rFonts w:hint="eastAsia" w:ascii="仿宋_GB2312" w:hAnsi="仿宋_GB2312" w:eastAsia="仿宋_GB2312" w:cs="仿宋_GB2312"/>
          <w:color w:val="000000"/>
          <w:spacing w:val="-1"/>
          <w:sz w:val="32"/>
          <w:szCs w:val="22"/>
          <w:lang w:val="en-US" w:eastAsia="zh-CN" w:bidi="ar-SA"/>
        </w:rPr>
        <w:t>通信保障</w:t>
      </w:r>
      <w:r>
        <w:rPr>
          <w:rFonts w:hint="eastAsia" w:ascii="仿宋_GB2312" w:hAnsi="仿宋_GB2312" w:eastAsia="仿宋_GB2312" w:cs="仿宋_GB2312"/>
          <w:color w:val="000000"/>
          <w:spacing w:val="-1"/>
          <w:sz w:val="32"/>
          <w:szCs w:val="22"/>
          <w:lang w:val="en-US" w:eastAsia="en-US" w:bidi="ar-SA"/>
        </w:rPr>
        <w:t>组：由电信</w:t>
      </w:r>
      <w:r>
        <w:rPr>
          <w:rFonts w:hint="eastAsia" w:ascii="仿宋_GB2312" w:hAnsi="仿宋_GB2312" w:eastAsia="仿宋_GB2312" w:cs="仿宋_GB2312"/>
          <w:color w:val="000000"/>
          <w:spacing w:val="-1"/>
          <w:sz w:val="32"/>
          <w:szCs w:val="22"/>
          <w:lang w:val="en-US" w:eastAsia="zh-CN" w:bidi="ar-SA"/>
        </w:rPr>
        <w:t>公司</w:t>
      </w:r>
      <w:r>
        <w:rPr>
          <w:rFonts w:hint="eastAsia" w:ascii="仿宋_GB2312" w:hAnsi="仿宋_GB2312" w:eastAsia="仿宋_GB2312" w:cs="仿宋_GB2312"/>
          <w:color w:val="000000"/>
          <w:spacing w:val="-1"/>
          <w:sz w:val="32"/>
          <w:szCs w:val="22"/>
          <w:lang w:val="en-US" w:eastAsia="en-US" w:bidi="ar-SA"/>
        </w:rPr>
        <w:t>、移动公司、联通</w:t>
      </w:r>
      <w:r>
        <w:rPr>
          <w:rFonts w:hint="eastAsia" w:ascii="仿宋_GB2312" w:hAnsi="仿宋_GB2312" w:eastAsia="仿宋_GB2312" w:cs="仿宋_GB2312"/>
          <w:color w:val="000000"/>
          <w:spacing w:val="2"/>
          <w:sz w:val="32"/>
          <w:szCs w:val="22"/>
          <w:lang w:val="en-US" w:eastAsia="en-US" w:bidi="ar-SA"/>
        </w:rPr>
        <w:t>公司等通讯运营单位组成，负责为事故现场提供畅通的通讯联</w:t>
      </w:r>
      <w:r>
        <w:rPr>
          <w:rFonts w:hint="eastAsia" w:ascii="仿宋_GB2312" w:hAnsi="仿宋_GB2312" w:eastAsia="仿宋_GB2312" w:cs="仿宋_GB2312"/>
          <w:color w:val="000000"/>
          <w:sz w:val="32"/>
          <w:szCs w:val="22"/>
          <w:lang w:val="en-US" w:eastAsia="en-US" w:bidi="ar-SA"/>
        </w:rPr>
        <w:t>络，畅通指挥部与外界沟通渠道。</w:t>
      </w:r>
    </w:p>
    <w:p w14:paraId="2C1665AA">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（7）环境监测组</w:t>
      </w:r>
    </w:p>
    <w:p w14:paraId="5437FA41">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（8）新闻舆论组</w:t>
      </w:r>
    </w:p>
    <w:p w14:paraId="0D2C0D1C">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三、矿山事故及应急响应分级</w:t>
      </w:r>
    </w:p>
    <w:p w14:paraId="3534E988">
      <w:pPr>
        <w:keepNext w:val="0"/>
        <w:keepLines w:val="0"/>
        <w:pageBreakBefore w:val="0"/>
        <w:widowControl w:val="0"/>
        <w:kinsoku/>
        <w:wordWrap/>
        <w:overflowPunct/>
        <w:topLinePunct w:val="0"/>
        <w:autoSpaceDE/>
        <w:autoSpaceDN/>
        <w:bidi w:val="0"/>
        <w:adjustRightInd/>
        <w:snapToGrid/>
        <w:spacing w:after="0" w:line="600" w:lineRule="exact"/>
        <w:ind w:left="0" w:right="0" w:firstLine="62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按照矿山事故危害程度、人员伤亡、经济损失和影响力大小，将矿山事故分为特别重大（Ⅰ级）、重大（Ⅱ级）、较大（Ⅲ级）</w:t>
      </w:r>
      <w:r>
        <w:rPr>
          <w:rFonts w:hint="eastAsia" w:ascii="仿宋_GB2312" w:hAnsi="仿宋_GB2312" w:eastAsia="仿宋_GB2312" w:cs="仿宋_GB2312"/>
          <w:color w:val="000000"/>
          <w:spacing w:val="2"/>
          <w:sz w:val="32"/>
          <w:szCs w:val="22"/>
          <w:lang w:val="en-US" w:eastAsia="en-US" w:bidi="ar-SA"/>
        </w:rPr>
        <w:t>和一般（Ⅳ级）四个级别。根据事故应急管理需要，出现相应级</w:t>
      </w:r>
      <w:r>
        <w:rPr>
          <w:rFonts w:hint="eastAsia" w:ascii="仿宋_GB2312" w:hAnsi="仿宋_GB2312" w:eastAsia="仿宋_GB2312" w:cs="仿宋_GB2312"/>
          <w:color w:val="000000"/>
          <w:sz w:val="32"/>
          <w:szCs w:val="22"/>
          <w:lang w:val="en-US" w:eastAsia="en-US" w:bidi="ar-SA"/>
        </w:rPr>
        <w:t>别情形时，分别启动I级、Ⅱ级、Ⅲ级、Ⅳ级应急响应。</w:t>
      </w:r>
    </w:p>
    <w:p w14:paraId="5F366A7C">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（一）特别重大矿山事故（I</w:t>
      </w:r>
      <w:r>
        <w:rPr>
          <w:rFonts w:hint="eastAsia" w:ascii="楷体_GB2312" w:hAnsi="楷体_GB2312" w:eastAsia="楷体_GB2312" w:cs="楷体_GB2312"/>
          <w:color w:val="000000"/>
          <w:spacing w:val="2"/>
          <w:sz w:val="32"/>
          <w:szCs w:val="22"/>
          <w:lang w:val="en-US" w:eastAsia="en-US" w:bidi="ar-SA"/>
        </w:rPr>
        <w:t>级）</w:t>
      </w:r>
    </w:p>
    <w:p w14:paraId="2DF5956C">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特别重大矿山事故，是指出现以下情形之一：</w:t>
      </w:r>
    </w:p>
    <w:p w14:paraId="218B23FA">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1.造成</w:t>
      </w:r>
      <w:r>
        <w:rPr>
          <w:rFonts w:hint="eastAsia" w:ascii="仿宋_GB2312" w:hAnsi="仿宋_GB2312" w:eastAsia="仿宋_GB2312" w:cs="仿宋_GB2312"/>
          <w:color w:val="000000"/>
          <w:spacing w:val="-2"/>
          <w:sz w:val="32"/>
          <w:szCs w:val="22"/>
          <w:lang w:val="en-US" w:eastAsia="en-US" w:bidi="ar-SA"/>
        </w:rPr>
        <w:t>30</w:t>
      </w:r>
      <w:r>
        <w:rPr>
          <w:rFonts w:hint="eastAsia" w:ascii="仿宋_GB2312" w:hAnsi="仿宋_GB2312" w:eastAsia="仿宋_GB2312" w:cs="仿宋_GB2312"/>
          <w:color w:val="000000"/>
          <w:spacing w:val="-6"/>
          <w:sz w:val="32"/>
          <w:szCs w:val="22"/>
          <w:lang w:val="en-US" w:eastAsia="en-US" w:bidi="ar-SA"/>
        </w:rPr>
        <w:t>人以上死亡（含失踪，下同），或者</w:t>
      </w:r>
      <w:r>
        <w:rPr>
          <w:rFonts w:hint="eastAsia" w:ascii="仿宋_GB2312" w:hAnsi="仿宋_GB2312" w:eastAsia="仿宋_GB2312" w:cs="仿宋_GB2312"/>
          <w:color w:val="000000"/>
          <w:spacing w:val="1"/>
          <w:sz w:val="32"/>
          <w:szCs w:val="22"/>
          <w:lang w:val="en-US" w:eastAsia="en-US" w:bidi="ar-SA"/>
        </w:rPr>
        <w:t>100</w:t>
      </w:r>
      <w:r>
        <w:rPr>
          <w:rFonts w:hint="eastAsia" w:ascii="仿宋_GB2312" w:hAnsi="仿宋_GB2312" w:eastAsia="仿宋_GB2312" w:cs="仿宋_GB2312"/>
          <w:color w:val="000000"/>
          <w:spacing w:val="-1"/>
          <w:sz w:val="32"/>
          <w:szCs w:val="22"/>
          <w:lang w:val="en-US" w:eastAsia="en-US" w:bidi="ar-SA"/>
        </w:rPr>
        <w:t>人以上</w:t>
      </w:r>
      <w:bookmarkStart w:id="9" w:name="br1_10"/>
      <w:bookmarkEnd w:id="9"/>
      <w:r>
        <w:rPr>
          <w:rFonts w:hint="eastAsia" w:ascii="仿宋_GB2312" w:hAnsi="仿宋_GB2312" w:eastAsia="仿宋_GB2312" w:cs="仿宋_GB2312"/>
          <w:color w:val="000000"/>
          <w:spacing w:val="-5"/>
          <w:sz w:val="32"/>
          <w:szCs w:val="22"/>
          <w:lang w:val="en-US" w:eastAsia="en-US" w:bidi="ar-SA"/>
        </w:rPr>
        <w:t>重伤（包括急性工业中毒，下同），或者</w:t>
      </w:r>
      <w:r>
        <w:rPr>
          <w:rFonts w:hint="eastAsia" w:ascii="仿宋_GB2312" w:hAnsi="仿宋_GB2312" w:eastAsia="仿宋_GB2312" w:cs="仿宋_GB2312"/>
          <w:color w:val="000000"/>
          <w:sz w:val="32"/>
          <w:szCs w:val="22"/>
          <w:lang w:val="en-US" w:eastAsia="en-US" w:bidi="ar-SA"/>
        </w:rPr>
        <w:t>1亿元以上直接经济损失的事故；</w:t>
      </w:r>
    </w:p>
    <w:p w14:paraId="5F8B9D0D">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2.事故事态发展严重，产生特别严重社会影响的；</w:t>
      </w:r>
    </w:p>
    <w:p w14:paraId="579F029E">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3.国务院认定为特别重大矿山事故的。</w:t>
      </w:r>
    </w:p>
    <w:p w14:paraId="2A0387EF">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（二）重大矿山事故（Ⅱ级）</w:t>
      </w:r>
    </w:p>
    <w:p w14:paraId="7311BF65">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重大矿山事故，是指出现以下情形之一：</w:t>
      </w:r>
    </w:p>
    <w:p w14:paraId="72E6D513">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1.造成</w:t>
      </w:r>
      <w:r>
        <w:rPr>
          <w:rFonts w:hint="eastAsia" w:ascii="仿宋_GB2312" w:hAnsi="仿宋_GB2312" w:eastAsia="仿宋_GB2312" w:cs="仿宋_GB2312"/>
          <w:color w:val="000000"/>
          <w:spacing w:val="-2"/>
          <w:sz w:val="32"/>
          <w:szCs w:val="22"/>
          <w:lang w:val="en-US" w:eastAsia="en-US" w:bidi="ar-SA"/>
        </w:rPr>
        <w:t>10</w:t>
      </w:r>
      <w:r>
        <w:rPr>
          <w:rFonts w:hint="eastAsia" w:ascii="仿宋_GB2312" w:hAnsi="仿宋_GB2312" w:eastAsia="仿宋_GB2312" w:cs="仿宋_GB2312"/>
          <w:color w:val="000000"/>
          <w:spacing w:val="-1"/>
          <w:sz w:val="32"/>
          <w:szCs w:val="22"/>
          <w:lang w:val="en-US" w:eastAsia="en-US" w:bidi="ar-SA"/>
        </w:rPr>
        <w:t>人以上</w:t>
      </w:r>
      <w:r>
        <w:rPr>
          <w:rFonts w:hint="eastAsia" w:ascii="仿宋_GB2312" w:hAnsi="仿宋_GB2312" w:eastAsia="仿宋_GB2312" w:cs="仿宋_GB2312"/>
          <w:color w:val="000000"/>
          <w:spacing w:val="3"/>
          <w:sz w:val="32"/>
          <w:szCs w:val="22"/>
          <w:lang w:val="en-US" w:eastAsia="en-US" w:bidi="ar-SA"/>
        </w:rPr>
        <w:t>30</w:t>
      </w:r>
      <w:r>
        <w:rPr>
          <w:rFonts w:hint="eastAsia" w:ascii="仿宋_GB2312" w:hAnsi="仿宋_GB2312" w:eastAsia="仿宋_GB2312" w:cs="仿宋_GB2312"/>
          <w:color w:val="000000"/>
          <w:spacing w:val="-2"/>
          <w:sz w:val="32"/>
          <w:szCs w:val="22"/>
          <w:lang w:val="en-US" w:eastAsia="en-US" w:bidi="ar-SA"/>
        </w:rPr>
        <w:t>人以下死亡，或者</w:t>
      </w:r>
      <w:r>
        <w:rPr>
          <w:rFonts w:hint="eastAsia" w:ascii="仿宋_GB2312" w:hAnsi="仿宋_GB2312" w:eastAsia="仿宋_GB2312" w:cs="仿宋_GB2312"/>
          <w:color w:val="000000"/>
          <w:spacing w:val="3"/>
          <w:sz w:val="32"/>
          <w:szCs w:val="22"/>
          <w:lang w:val="en-US" w:eastAsia="en-US" w:bidi="ar-SA"/>
        </w:rPr>
        <w:t>50</w:t>
      </w:r>
      <w:r>
        <w:rPr>
          <w:rFonts w:hint="eastAsia" w:ascii="仿宋_GB2312" w:hAnsi="仿宋_GB2312" w:eastAsia="仿宋_GB2312" w:cs="仿宋_GB2312"/>
          <w:color w:val="000000"/>
          <w:spacing w:val="-1"/>
          <w:sz w:val="32"/>
          <w:szCs w:val="22"/>
          <w:lang w:val="en-US" w:eastAsia="en-US" w:bidi="ar-SA"/>
        </w:rPr>
        <w:t>人以上</w:t>
      </w:r>
      <w:r>
        <w:rPr>
          <w:rFonts w:hint="eastAsia" w:ascii="仿宋_GB2312" w:hAnsi="仿宋_GB2312" w:eastAsia="仿宋_GB2312" w:cs="仿宋_GB2312"/>
          <w:color w:val="000000"/>
          <w:spacing w:val="1"/>
          <w:sz w:val="32"/>
          <w:szCs w:val="22"/>
          <w:lang w:val="en-US" w:eastAsia="en-US" w:bidi="ar-SA"/>
        </w:rPr>
        <w:t>100</w:t>
      </w:r>
      <w:r>
        <w:rPr>
          <w:rFonts w:hint="eastAsia" w:ascii="仿宋_GB2312" w:hAnsi="仿宋_GB2312" w:eastAsia="仿宋_GB2312" w:cs="仿宋_GB2312"/>
          <w:color w:val="000000"/>
          <w:sz w:val="32"/>
          <w:szCs w:val="22"/>
          <w:lang w:val="en-US" w:eastAsia="en-US" w:bidi="ar-SA"/>
        </w:rPr>
        <w:t>人</w:t>
      </w:r>
      <w:r>
        <w:rPr>
          <w:rFonts w:hint="eastAsia" w:ascii="仿宋_GB2312" w:hAnsi="仿宋_GB2312" w:eastAsia="仿宋_GB2312" w:cs="仿宋_GB2312"/>
          <w:color w:val="000000"/>
          <w:spacing w:val="9"/>
          <w:sz w:val="32"/>
          <w:szCs w:val="22"/>
          <w:lang w:val="en-US" w:eastAsia="en-US" w:bidi="ar-SA"/>
        </w:rPr>
        <w:t>以下重伤，或者</w:t>
      </w:r>
      <w:r>
        <w:rPr>
          <w:rFonts w:hint="eastAsia" w:ascii="仿宋_GB2312" w:hAnsi="仿宋_GB2312" w:eastAsia="仿宋_GB2312" w:cs="仿宋_GB2312"/>
          <w:color w:val="000000"/>
          <w:spacing w:val="86"/>
          <w:sz w:val="32"/>
          <w:szCs w:val="22"/>
          <w:lang w:val="en-US" w:eastAsia="en-US" w:bidi="ar-SA"/>
        </w:rPr>
        <w:t xml:space="preserve"> </w:t>
      </w:r>
      <w:r>
        <w:rPr>
          <w:rFonts w:hint="eastAsia" w:ascii="仿宋_GB2312" w:hAnsi="仿宋_GB2312" w:eastAsia="仿宋_GB2312" w:cs="仿宋_GB2312"/>
          <w:color w:val="000000"/>
          <w:sz w:val="32"/>
          <w:szCs w:val="22"/>
          <w:lang w:val="en-US" w:eastAsia="en-US" w:bidi="ar-SA"/>
        </w:rPr>
        <w:t>5000</w:t>
      </w:r>
      <w:r>
        <w:rPr>
          <w:rFonts w:hint="eastAsia" w:ascii="仿宋_GB2312" w:hAnsi="仿宋_GB2312" w:eastAsia="仿宋_GB2312" w:cs="仿宋_GB2312"/>
          <w:color w:val="000000"/>
          <w:spacing w:val="91"/>
          <w:sz w:val="32"/>
          <w:szCs w:val="22"/>
          <w:lang w:val="en-US" w:eastAsia="en-US" w:bidi="ar-SA"/>
        </w:rPr>
        <w:t xml:space="preserve"> </w:t>
      </w:r>
      <w:r>
        <w:rPr>
          <w:rFonts w:hint="eastAsia" w:ascii="仿宋_GB2312" w:hAnsi="仿宋_GB2312" w:eastAsia="仿宋_GB2312" w:cs="仿宋_GB2312"/>
          <w:color w:val="000000"/>
          <w:spacing w:val="8"/>
          <w:sz w:val="32"/>
          <w:szCs w:val="22"/>
          <w:lang w:val="en-US" w:eastAsia="en-US" w:bidi="ar-SA"/>
        </w:rPr>
        <w:t>万元以上</w:t>
      </w:r>
      <w:r>
        <w:rPr>
          <w:rFonts w:hint="eastAsia" w:ascii="仿宋_GB2312" w:hAnsi="仿宋_GB2312" w:eastAsia="仿宋_GB2312" w:cs="仿宋_GB2312"/>
          <w:color w:val="000000"/>
          <w:spacing w:val="91"/>
          <w:sz w:val="32"/>
          <w:szCs w:val="22"/>
          <w:lang w:val="en-US" w:eastAsia="en-US" w:bidi="ar-SA"/>
        </w:rPr>
        <w:t xml:space="preserve"> </w:t>
      </w:r>
      <w:r>
        <w:rPr>
          <w:rFonts w:hint="eastAsia" w:ascii="仿宋_GB2312" w:hAnsi="仿宋_GB2312" w:eastAsia="仿宋_GB2312" w:cs="仿宋_GB2312"/>
          <w:color w:val="000000"/>
          <w:sz w:val="32"/>
          <w:szCs w:val="22"/>
          <w:lang w:val="en-US" w:eastAsia="en-US" w:bidi="ar-SA"/>
        </w:rPr>
        <w:t>1</w:t>
      </w:r>
      <w:r>
        <w:rPr>
          <w:rFonts w:hint="eastAsia" w:ascii="仿宋_GB2312" w:hAnsi="仿宋_GB2312" w:eastAsia="仿宋_GB2312" w:cs="仿宋_GB2312"/>
          <w:color w:val="000000"/>
          <w:spacing w:val="86"/>
          <w:sz w:val="32"/>
          <w:szCs w:val="22"/>
          <w:lang w:val="en-US" w:eastAsia="en-US" w:bidi="ar-SA"/>
        </w:rPr>
        <w:t xml:space="preserve"> </w:t>
      </w:r>
      <w:r>
        <w:rPr>
          <w:rFonts w:hint="eastAsia" w:ascii="仿宋_GB2312" w:hAnsi="仿宋_GB2312" w:eastAsia="仿宋_GB2312" w:cs="仿宋_GB2312"/>
          <w:color w:val="000000"/>
          <w:spacing w:val="9"/>
          <w:sz w:val="32"/>
          <w:szCs w:val="22"/>
          <w:lang w:val="en-US" w:eastAsia="en-US" w:bidi="ar-SA"/>
        </w:rPr>
        <w:t>亿元以下直接经济损失的事</w:t>
      </w:r>
      <w:r>
        <w:rPr>
          <w:rFonts w:hint="eastAsia" w:ascii="仿宋_GB2312" w:hAnsi="仿宋_GB2312" w:eastAsia="仿宋_GB2312" w:cs="仿宋_GB2312"/>
          <w:color w:val="000000"/>
          <w:spacing w:val="2"/>
          <w:sz w:val="32"/>
          <w:szCs w:val="22"/>
          <w:lang w:val="en-US" w:eastAsia="en-US" w:bidi="ar-SA"/>
        </w:rPr>
        <w:t>故；</w:t>
      </w:r>
    </w:p>
    <w:p w14:paraId="61A16855">
      <w:pPr>
        <w:keepNext w:val="0"/>
        <w:keepLines w:val="0"/>
        <w:pageBreakBefore w:val="0"/>
        <w:widowControl w:val="0"/>
        <w:kinsoku/>
        <w:wordWrap/>
        <w:overflowPunct/>
        <w:topLinePunct w:val="0"/>
        <w:autoSpaceDE/>
        <w:autoSpaceDN/>
        <w:bidi w:val="0"/>
        <w:adjustRightInd/>
        <w:snapToGrid/>
        <w:spacing w:after="0" w:line="600" w:lineRule="exact"/>
        <w:ind w:left="0" w:right="0" w:firstLine="62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2.事故造成严重社会影响，超出设区市政府应急处置能力的；</w:t>
      </w:r>
    </w:p>
    <w:p w14:paraId="6BF8AD95">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3.省政府认定为重大矿山事故的。</w:t>
      </w:r>
    </w:p>
    <w:p w14:paraId="00F54963">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（三）较大矿山事故（Ⅲ级）</w:t>
      </w:r>
    </w:p>
    <w:p w14:paraId="708032CC">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较大矿山事故，是指出现以下情形之一：</w:t>
      </w:r>
    </w:p>
    <w:p w14:paraId="0799F7B6">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1.造成</w:t>
      </w:r>
      <w:r>
        <w:rPr>
          <w:rFonts w:hint="eastAsia" w:ascii="仿宋_GB2312" w:hAnsi="仿宋_GB2312" w:eastAsia="仿宋_GB2312" w:cs="仿宋_GB2312"/>
          <w:color w:val="000000"/>
          <w:sz w:val="32"/>
          <w:szCs w:val="22"/>
          <w:lang w:val="en-US" w:eastAsia="en-US" w:bidi="ar-SA"/>
        </w:rPr>
        <w:t>3</w:t>
      </w:r>
      <w:r>
        <w:rPr>
          <w:rFonts w:hint="eastAsia" w:ascii="仿宋_GB2312" w:hAnsi="仿宋_GB2312" w:eastAsia="仿宋_GB2312" w:cs="仿宋_GB2312"/>
          <w:color w:val="000000"/>
          <w:spacing w:val="-1"/>
          <w:sz w:val="32"/>
          <w:szCs w:val="22"/>
          <w:lang w:val="en-US" w:eastAsia="en-US" w:bidi="ar-SA"/>
        </w:rPr>
        <w:t>人以上</w:t>
      </w:r>
      <w:r>
        <w:rPr>
          <w:rFonts w:hint="eastAsia" w:ascii="仿宋_GB2312" w:hAnsi="仿宋_GB2312" w:eastAsia="仿宋_GB2312" w:cs="仿宋_GB2312"/>
          <w:color w:val="000000"/>
          <w:spacing w:val="-2"/>
          <w:sz w:val="32"/>
          <w:szCs w:val="22"/>
          <w:lang w:val="en-US" w:eastAsia="en-US" w:bidi="ar-SA"/>
        </w:rPr>
        <w:t>10人以下死亡，或者</w:t>
      </w:r>
      <w:r>
        <w:rPr>
          <w:rFonts w:hint="eastAsia" w:ascii="仿宋_GB2312" w:hAnsi="仿宋_GB2312" w:eastAsia="仿宋_GB2312" w:cs="仿宋_GB2312"/>
          <w:color w:val="000000"/>
          <w:spacing w:val="3"/>
          <w:sz w:val="32"/>
          <w:szCs w:val="22"/>
          <w:lang w:val="en-US" w:eastAsia="en-US" w:bidi="ar-SA"/>
        </w:rPr>
        <w:t>10</w:t>
      </w:r>
      <w:r>
        <w:rPr>
          <w:rFonts w:hint="eastAsia" w:ascii="仿宋_GB2312" w:hAnsi="仿宋_GB2312" w:eastAsia="仿宋_GB2312" w:cs="仿宋_GB2312"/>
          <w:color w:val="000000"/>
          <w:spacing w:val="-1"/>
          <w:sz w:val="32"/>
          <w:szCs w:val="22"/>
          <w:lang w:val="en-US" w:eastAsia="en-US" w:bidi="ar-SA"/>
        </w:rPr>
        <w:t>人以上</w:t>
      </w:r>
      <w:r>
        <w:rPr>
          <w:rFonts w:hint="eastAsia" w:ascii="仿宋_GB2312" w:hAnsi="仿宋_GB2312" w:eastAsia="仿宋_GB2312" w:cs="仿宋_GB2312"/>
          <w:color w:val="000000"/>
          <w:spacing w:val="3"/>
          <w:sz w:val="32"/>
          <w:szCs w:val="22"/>
          <w:lang w:val="en-US" w:eastAsia="en-US" w:bidi="ar-SA"/>
        </w:rPr>
        <w:t>50</w:t>
      </w:r>
      <w:r>
        <w:rPr>
          <w:rFonts w:hint="eastAsia" w:ascii="仿宋_GB2312" w:hAnsi="仿宋_GB2312" w:eastAsia="仿宋_GB2312" w:cs="仿宋_GB2312"/>
          <w:color w:val="000000"/>
          <w:spacing w:val="2"/>
          <w:sz w:val="32"/>
          <w:szCs w:val="22"/>
          <w:lang w:val="en-US" w:eastAsia="en-US" w:bidi="ar-SA"/>
        </w:rPr>
        <w:t>人以</w:t>
      </w:r>
      <w:r>
        <w:rPr>
          <w:rFonts w:hint="eastAsia" w:ascii="仿宋_GB2312" w:hAnsi="仿宋_GB2312" w:eastAsia="仿宋_GB2312" w:cs="仿宋_GB2312"/>
          <w:color w:val="000000"/>
          <w:spacing w:val="3"/>
          <w:sz w:val="32"/>
          <w:szCs w:val="22"/>
          <w:lang w:val="en-US" w:eastAsia="en-US" w:bidi="ar-SA"/>
        </w:rPr>
        <w:t>下重伤，或者</w:t>
      </w:r>
      <w:r>
        <w:rPr>
          <w:rFonts w:hint="eastAsia" w:ascii="仿宋_GB2312" w:hAnsi="仿宋_GB2312" w:eastAsia="仿宋_GB2312" w:cs="仿宋_GB2312"/>
          <w:color w:val="000000"/>
          <w:sz w:val="32"/>
          <w:szCs w:val="22"/>
          <w:lang w:val="en-US" w:eastAsia="en-US" w:bidi="ar-SA"/>
        </w:rPr>
        <w:t>1000</w:t>
      </w:r>
      <w:r>
        <w:rPr>
          <w:rFonts w:hint="eastAsia" w:ascii="仿宋_GB2312" w:hAnsi="仿宋_GB2312" w:eastAsia="仿宋_GB2312" w:cs="仿宋_GB2312"/>
          <w:color w:val="000000"/>
          <w:spacing w:val="3"/>
          <w:sz w:val="32"/>
          <w:szCs w:val="22"/>
          <w:lang w:val="en-US" w:eastAsia="en-US" w:bidi="ar-SA"/>
        </w:rPr>
        <w:t>万元以上</w:t>
      </w:r>
      <w:r>
        <w:rPr>
          <w:rFonts w:hint="eastAsia" w:ascii="仿宋_GB2312" w:hAnsi="仿宋_GB2312" w:eastAsia="仿宋_GB2312" w:cs="仿宋_GB2312"/>
          <w:color w:val="000000"/>
          <w:sz w:val="32"/>
          <w:szCs w:val="22"/>
          <w:lang w:val="en-US" w:eastAsia="en-US" w:bidi="ar-SA"/>
        </w:rPr>
        <w:t>5000</w:t>
      </w:r>
      <w:r>
        <w:rPr>
          <w:rFonts w:hint="eastAsia" w:ascii="仿宋_GB2312" w:hAnsi="仿宋_GB2312" w:eastAsia="仿宋_GB2312" w:cs="仿宋_GB2312"/>
          <w:color w:val="000000"/>
          <w:spacing w:val="2"/>
          <w:sz w:val="32"/>
          <w:szCs w:val="22"/>
          <w:lang w:val="en-US" w:eastAsia="en-US" w:bidi="ar-SA"/>
        </w:rPr>
        <w:t>万元以下直接经济损失的事故；</w:t>
      </w:r>
    </w:p>
    <w:p w14:paraId="736EBEA5">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2.事故造成较大社会影响，超出县级政府应急处置能力的；</w:t>
      </w:r>
    </w:p>
    <w:p w14:paraId="765324B0">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3.设区市政府认定为较大矿山事故的。</w:t>
      </w:r>
    </w:p>
    <w:p w14:paraId="5D21B62A">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（四）一般矿山事故（Ⅳ级）</w:t>
      </w:r>
    </w:p>
    <w:p w14:paraId="2F7EF783">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一般矿山事故，是指出现以下情形之一：</w:t>
      </w:r>
    </w:p>
    <w:p w14:paraId="03774B1E">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1.造成</w:t>
      </w:r>
      <w:r>
        <w:rPr>
          <w:rFonts w:hint="eastAsia" w:ascii="仿宋_GB2312" w:hAnsi="仿宋_GB2312" w:eastAsia="仿宋_GB2312" w:cs="仿宋_GB2312"/>
          <w:color w:val="000000"/>
          <w:sz w:val="32"/>
          <w:szCs w:val="22"/>
          <w:lang w:val="en-US" w:eastAsia="en-US" w:bidi="ar-SA"/>
        </w:rPr>
        <w:t>3</w:t>
      </w:r>
      <w:r>
        <w:rPr>
          <w:rFonts w:hint="eastAsia" w:ascii="仿宋_GB2312" w:hAnsi="仿宋_GB2312" w:eastAsia="仿宋_GB2312" w:cs="仿宋_GB2312"/>
          <w:color w:val="000000"/>
          <w:spacing w:val="-4"/>
          <w:sz w:val="32"/>
          <w:szCs w:val="22"/>
          <w:lang w:val="en-US" w:eastAsia="en-US" w:bidi="ar-SA"/>
        </w:rPr>
        <w:t>人以下死亡的，或者导致</w:t>
      </w:r>
      <w:r>
        <w:rPr>
          <w:rFonts w:hint="eastAsia" w:ascii="仿宋_GB2312" w:hAnsi="仿宋_GB2312" w:eastAsia="仿宋_GB2312" w:cs="仿宋_GB2312"/>
          <w:color w:val="000000"/>
          <w:spacing w:val="3"/>
          <w:sz w:val="32"/>
          <w:szCs w:val="22"/>
          <w:lang w:val="en-US" w:eastAsia="en-US" w:bidi="ar-SA"/>
        </w:rPr>
        <w:t>10</w:t>
      </w:r>
      <w:r>
        <w:rPr>
          <w:rFonts w:hint="eastAsia" w:ascii="仿宋_GB2312" w:hAnsi="仿宋_GB2312" w:eastAsia="仿宋_GB2312" w:cs="仿宋_GB2312"/>
          <w:color w:val="000000"/>
          <w:spacing w:val="-5"/>
          <w:sz w:val="32"/>
          <w:szCs w:val="22"/>
          <w:lang w:val="en-US" w:eastAsia="en-US" w:bidi="ar-SA"/>
        </w:rPr>
        <w:t>人以下重伤的，或者</w:t>
      </w:r>
      <w:r>
        <w:rPr>
          <w:rFonts w:hint="eastAsia" w:ascii="仿宋_GB2312" w:hAnsi="仿宋_GB2312" w:eastAsia="仿宋_GB2312" w:cs="仿宋_GB2312"/>
          <w:color w:val="000000"/>
          <w:sz w:val="32"/>
          <w:szCs w:val="22"/>
          <w:lang w:val="en-US" w:eastAsia="en-US" w:bidi="ar-SA"/>
        </w:rPr>
        <w:t>1000万元以下直接经济损失的；</w:t>
      </w:r>
    </w:p>
    <w:p w14:paraId="4EEB3297">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2.事故产生一定社会影响的。</w:t>
      </w:r>
    </w:p>
    <w:p w14:paraId="2A2F8F73">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四、预警和预防机制</w:t>
      </w:r>
      <w:bookmarkStart w:id="10" w:name="br1_11"/>
      <w:bookmarkEnd w:id="10"/>
    </w:p>
    <w:p w14:paraId="788BE0A7">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（一）信息报送</w:t>
      </w:r>
    </w:p>
    <w:p w14:paraId="30888ADD">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矿山企业发生安全生产责任事故和重大险情时，应当立即向</w:t>
      </w:r>
      <w:r>
        <w:rPr>
          <w:rFonts w:hint="eastAsia" w:ascii="仿宋_GB2312" w:hAnsi="仿宋_GB2312" w:eastAsia="仿宋_GB2312" w:cs="仿宋_GB2312"/>
          <w:color w:val="000000"/>
          <w:spacing w:val="2"/>
          <w:sz w:val="32"/>
          <w:szCs w:val="22"/>
          <w:lang w:val="en-US" w:eastAsia="en-US" w:bidi="ar-SA"/>
        </w:rPr>
        <w:t>当地镇乡（街道）、应急管理部门等单位如实报告事故或重大险情情况。镇乡（街道）及其有关部门接到报告后，应根据各自职</w:t>
      </w:r>
      <w:r>
        <w:rPr>
          <w:rFonts w:hint="eastAsia" w:ascii="仿宋_GB2312" w:hAnsi="仿宋_GB2312" w:eastAsia="仿宋_GB2312" w:cs="仿宋_GB2312"/>
          <w:color w:val="000000"/>
          <w:spacing w:val="6"/>
          <w:sz w:val="32"/>
          <w:szCs w:val="22"/>
          <w:lang w:val="en-US" w:eastAsia="en-US" w:bidi="ar-SA"/>
        </w:rPr>
        <w:t>责，按《生产安全事故报告和调查处理条例》（国务院令第</w:t>
      </w:r>
      <w:r>
        <w:rPr>
          <w:rFonts w:hint="eastAsia" w:ascii="仿宋_GB2312" w:hAnsi="仿宋_GB2312" w:eastAsia="仿宋_GB2312" w:cs="仿宋_GB2312"/>
          <w:color w:val="000000"/>
          <w:spacing w:val="1"/>
          <w:sz w:val="32"/>
          <w:szCs w:val="22"/>
          <w:lang w:val="en-US" w:eastAsia="en-US" w:bidi="ar-SA"/>
        </w:rPr>
        <w:t>493</w:t>
      </w:r>
      <w:r>
        <w:rPr>
          <w:rFonts w:hint="eastAsia" w:ascii="仿宋_GB2312" w:hAnsi="仿宋_GB2312" w:eastAsia="仿宋_GB2312" w:cs="仿宋_GB2312"/>
          <w:color w:val="000000"/>
          <w:spacing w:val="2"/>
          <w:sz w:val="32"/>
          <w:szCs w:val="22"/>
          <w:lang w:val="en-US" w:eastAsia="en-US" w:bidi="ar-SA"/>
        </w:rPr>
        <w:t>号）要求，在规定的时限内及时上报相关信息。市指挥部成员单位在接到矿山事故或重大险情报告后，应及时将信息报告市指挥</w:t>
      </w:r>
      <w:r>
        <w:rPr>
          <w:rFonts w:hint="eastAsia" w:ascii="仿宋_GB2312" w:hAnsi="仿宋_GB2312" w:eastAsia="仿宋_GB2312" w:cs="仿宋_GB2312"/>
          <w:color w:val="000000"/>
          <w:sz w:val="32"/>
          <w:szCs w:val="22"/>
          <w:lang w:val="en-US" w:eastAsia="en-US" w:bidi="ar-SA"/>
        </w:rPr>
        <w:t>部办公室。</w:t>
      </w:r>
    </w:p>
    <w:p w14:paraId="577132F4">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（二）事故预防</w:t>
      </w:r>
    </w:p>
    <w:p w14:paraId="3C360D88">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矿山企业必须制定矿山事故应急预案，并定期进行演练和修</w:t>
      </w:r>
      <w:r>
        <w:rPr>
          <w:rFonts w:hint="eastAsia" w:ascii="仿宋_GB2312" w:hAnsi="仿宋_GB2312" w:eastAsia="仿宋_GB2312" w:cs="仿宋_GB2312"/>
          <w:color w:val="000000"/>
          <w:spacing w:val="2"/>
          <w:sz w:val="32"/>
          <w:szCs w:val="22"/>
          <w:lang w:val="en-US" w:eastAsia="en-US" w:bidi="ar-SA"/>
        </w:rPr>
        <w:t>订；健全安全生产管理机构，配备满足安全管理工作需要的工作人员；完善各项安全生产制度；加强对从业人员的安全生产教育和培训；保障安全生产投入，认真执行"三同时"规定；加强对重</w:t>
      </w:r>
      <w:r>
        <w:rPr>
          <w:rFonts w:hint="eastAsia" w:ascii="仿宋_GB2312" w:hAnsi="仿宋_GB2312" w:eastAsia="仿宋_GB2312" w:cs="仿宋_GB2312"/>
          <w:color w:val="000000"/>
          <w:sz w:val="32"/>
          <w:szCs w:val="22"/>
          <w:lang w:val="en-US" w:eastAsia="en-US" w:bidi="ar-SA"/>
        </w:rPr>
        <w:t>大危险源的监控；强化日常安全生产检查。</w:t>
      </w:r>
    </w:p>
    <w:p w14:paraId="00792067">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镇乡（街道）及其相关部门，要切实加强对矿山企业安全生</w:t>
      </w:r>
      <w:r>
        <w:rPr>
          <w:rFonts w:hint="eastAsia" w:ascii="仿宋_GB2312" w:hAnsi="仿宋_GB2312" w:eastAsia="仿宋_GB2312" w:cs="仿宋_GB2312"/>
          <w:color w:val="000000"/>
          <w:spacing w:val="2"/>
          <w:sz w:val="32"/>
          <w:szCs w:val="22"/>
          <w:lang w:val="en-US" w:eastAsia="en-US" w:bidi="ar-SA"/>
        </w:rPr>
        <w:t>产工作的管理和监督；落实安全生产责任制，严肃查处违法、违规行为和安全生产责任事故；对本行政区域内矿山重大危险源实</w:t>
      </w:r>
      <w:r>
        <w:rPr>
          <w:rFonts w:hint="eastAsia" w:ascii="仿宋_GB2312" w:hAnsi="仿宋_GB2312" w:eastAsia="仿宋_GB2312" w:cs="仿宋_GB2312"/>
          <w:color w:val="000000"/>
          <w:sz w:val="32"/>
          <w:szCs w:val="22"/>
          <w:lang w:val="en-US" w:eastAsia="en-US" w:bidi="ar-SA"/>
        </w:rPr>
        <w:t>施有效监控。</w:t>
      </w:r>
    </w:p>
    <w:p w14:paraId="0791173F">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五、应急响应</w:t>
      </w:r>
    </w:p>
    <w:p w14:paraId="279C2F06">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（一）分级响应</w:t>
      </w:r>
    </w:p>
    <w:p w14:paraId="33B3AFE6">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发生Ⅳ级矿山事故，市政府启动本预案；发生Ⅲ级、Ⅱ级、</w:t>
      </w:r>
      <w:r>
        <w:rPr>
          <w:rFonts w:hint="eastAsia" w:ascii="仿宋_GB2312" w:hAnsi="仿宋_GB2312" w:eastAsia="仿宋_GB2312" w:cs="仿宋_GB2312"/>
          <w:color w:val="000000"/>
          <w:spacing w:val="2"/>
          <w:sz w:val="32"/>
          <w:szCs w:val="22"/>
          <w:lang w:val="en-US" w:eastAsia="en-US" w:bidi="ar-SA"/>
        </w:rPr>
        <w:t>Ⅰ级矿山事故，按金华市政府和金华市指挥部指令执行，同时启</w:t>
      </w:r>
      <w:r>
        <w:rPr>
          <w:rFonts w:hint="eastAsia" w:ascii="仿宋_GB2312" w:hAnsi="仿宋_GB2312" w:eastAsia="仿宋_GB2312" w:cs="仿宋_GB2312"/>
          <w:color w:val="000000"/>
          <w:sz w:val="32"/>
          <w:szCs w:val="22"/>
          <w:lang w:val="en-US" w:eastAsia="en-US" w:bidi="ar-SA"/>
        </w:rPr>
        <w:t>动本预案。</w:t>
      </w:r>
    </w:p>
    <w:p w14:paraId="590C6508">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（二）市级响应</w:t>
      </w:r>
      <w:bookmarkStart w:id="11" w:name="br1_12"/>
      <w:bookmarkEnd w:id="11"/>
    </w:p>
    <w:p w14:paraId="0A86CF9E">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市指挥部决定启动预案后，迅速组织成立事故现场指挥部指</w:t>
      </w:r>
      <w:r>
        <w:rPr>
          <w:rFonts w:hint="eastAsia" w:ascii="仿宋_GB2312" w:hAnsi="仿宋_GB2312" w:eastAsia="仿宋_GB2312" w:cs="仿宋_GB2312"/>
          <w:color w:val="000000"/>
          <w:spacing w:val="2"/>
          <w:sz w:val="32"/>
          <w:szCs w:val="22"/>
          <w:lang w:val="en-US" w:eastAsia="en-US" w:bidi="ar-SA"/>
        </w:rPr>
        <w:t>挥现场应急救援工作；组织专业矿山救护队伍开展救援工作，抢救受伤人员，并为事故调查获取现场有关证据；指导、组织群众撤离危险区域，维护现场救援秩序；转移危险区域内的重要物资和设备；协调指挥通讯、交通运输、设备器材、物资、气象、地质和医疗抢救等相关工作；核查人员伤亡情况，估算经济损失；调查分析事故原因。及时将有关信息和应急救援情况向上级有关</w:t>
      </w:r>
      <w:r>
        <w:rPr>
          <w:rFonts w:hint="eastAsia" w:ascii="仿宋_GB2312" w:hAnsi="仿宋_GB2312" w:eastAsia="仿宋_GB2312" w:cs="仿宋_GB2312"/>
          <w:color w:val="000000"/>
          <w:sz w:val="32"/>
          <w:szCs w:val="22"/>
          <w:lang w:val="en-US" w:eastAsia="en-US" w:bidi="ar-SA"/>
        </w:rPr>
        <w:t>单位报告。</w:t>
      </w:r>
    </w:p>
    <w:p w14:paraId="6E90F8E8">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矿山事故超出处置能力的，由市政府报请金华市指挥部派出</w:t>
      </w:r>
      <w:r>
        <w:rPr>
          <w:rFonts w:hint="eastAsia" w:ascii="仿宋_GB2312" w:hAnsi="仿宋_GB2312" w:eastAsia="仿宋_GB2312" w:cs="仿宋_GB2312"/>
          <w:color w:val="000000"/>
          <w:sz w:val="32"/>
          <w:szCs w:val="22"/>
          <w:lang w:val="en-US" w:eastAsia="en-US" w:bidi="ar-SA"/>
        </w:rPr>
        <w:t>工作组或提供物资、技术等紧急支援。</w:t>
      </w:r>
    </w:p>
    <w:p w14:paraId="14C2549D">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六、应急结束及后期处置</w:t>
      </w:r>
    </w:p>
    <w:p w14:paraId="0072C927">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（一）应急结束</w:t>
      </w:r>
    </w:p>
    <w:p w14:paraId="0B3EAD65">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事故救援工作已完成，矿区社会秩序和生产秩序基本恢复，</w:t>
      </w:r>
      <w:r>
        <w:rPr>
          <w:rFonts w:hint="eastAsia" w:ascii="仿宋_GB2312" w:hAnsi="仿宋_GB2312" w:eastAsia="仿宋_GB2312" w:cs="仿宋_GB2312"/>
          <w:color w:val="000000"/>
          <w:sz w:val="32"/>
          <w:szCs w:val="22"/>
          <w:lang w:val="en-US" w:eastAsia="en-US" w:bidi="ar-SA"/>
        </w:rPr>
        <w:t>由市指挥部宣布应急结束。</w:t>
      </w:r>
    </w:p>
    <w:p w14:paraId="2848DD44">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（二）善后处理</w:t>
      </w:r>
    </w:p>
    <w:p w14:paraId="6C23AAF4">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因救援工作临时征用的房屋、运输工具、通信设备等应当及时归还，造成损坏或者无法归还的，按照国家、省政府有关规定给予适当补偿或者作出其他处理。协调相关部门和事故发生单位妥善处理事故伤亡人员及其家属的救济、补助和赔款，对应急救援过程中牺牲的救护人员进行嘉奖。事发地政府及其主管部门依据事故调查报告提出的整改意见，指导事故发生单位积极做好恢</w:t>
      </w:r>
      <w:r>
        <w:rPr>
          <w:rFonts w:hint="eastAsia" w:ascii="仿宋_GB2312" w:hAnsi="仿宋_GB2312" w:eastAsia="仿宋_GB2312" w:cs="仿宋_GB2312"/>
          <w:color w:val="000000"/>
          <w:sz w:val="32"/>
          <w:szCs w:val="22"/>
          <w:lang w:val="en-US" w:eastAsia="en-US" w:bidi="ar-SA"/>
        </w:rPr>
        <w:t>复生产相关工作。</w:t>
      </w:r>
    </w:p>
    <w:p w14:paraId="3EFE9B4B">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（三）调查评估</w:t>
      </w:r>
    </w:p>
    <w:p w14:paraId="2431B0DB">
      <w:pPr>
        <w:keepNext w:val="0"/>
        <w:keepLines w:val="0"/>
        <w:pageBreakBefore w:val="0"/>
        <w:widowControl w:val="0"/>
        <w:kinsoku/>
        <w:wordWrap/>
        <w:overflowPunct/>
        <w:topLinePunct w:val="0"/>
        <w:autoSpaceDE/>
        <w:autoSpaceDN/>
        <w:bidi w:val="0"/>
        <w:adjustRightInd/>
        <w:snapToGrid/>
        <w:spacing w:after="0" w:line="600" w:lineRule="exact"/>
        <w:ind w:left="0" w:right="0" w:firstLine="64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2"/>
          <w:sz w:val="32"/>
          <w:szCs w:val="22"/>
          <w:lang w:val="en-US" w:eastAsia="en-US" w:bidi="ar-SA"/>
        </w:rPr>
        <w:t>矿山事故调查处理工作按《生产安全事故报告和调查处理条</w:t>
      </w:r>
      <w:bookmarkStart w:id="12" w:name="br1_13"/>
      <w:bookmarkEnd w:id="12"/>
      <w:r>
        <w:rPr>
          <w:rFonts w:hint="eastAsia" w:ascii="仿宋_GB2312" w:hAnsi="仿宋_GB2312" w:eastAsia="仿宋_GB2312" w:cs="仿宋_GB2312"/>
          <w:color w:val="000000"/>
          <w:spacing w:val="2"/>
          <w:sz w:val="32"/>
          <w:szCs w:val="22"/>
          <w:lang w:val="en-US" w:eastAsia="en-US" w:bidi="ar-SA"/>
        </w:rPr>
        <w:t>例》（国务院令第</w:t>
      </w:r>
      <w:r>
        <w:rPr>
          <w:rFonts w:hint="eastAsia" w:ascii="仿宋_GB2312" w:hAnsi="仿宋_GB2312" w:eastAsia="仿宋_GB2312" w:cs="仿宋_GB2312"/>
          <w:color w:val="000000"/>
          <w:spacing w:val="1"/>
          <w:sz w:val="32"/>
          <w:szCs w:val="22"/>
          <w:lang w:val="en-US" w:eastAsia="en-US" w:bidi="ar-SA"/>
        </w:rPr>
        <w:t>493</w:t>
      </w:r>
      <w:r>
        <w:rPr>
          <w:rFonts w:hint="eastAsia" w:ascii="仿宋_GB2312" w:hAnsi="仿宋_GB2312" w:eastAsia="仿宋_GB2312" w:cs="仿宋_GB2312"/>
          <w:color w:val="000000"/>
          <w:spacing w:val="2"/>
          <w:sz w:val="32"/>
          <w:szCs w:val="22"/>
          <w:lang w:val="en-US" w:eastAsia="en-US" w:bidi="ar-SA"/>
        </w:rPr>
        <w:t>号）执行。矿山事故应急结束后，市应急管理局应在市政府的领导下，组织有关人员对事故起因、性质、</w:t>
      </w:r>
      <w:r>
        <w:rPr>
          <w:rFonts w:hint="eastAsia" w:ascii="仿宋_GB2312" w:hAnsi="仿宋_GB2312" w:eastAsia="仿宋_GB2312" w:cs="仿宋_GB2312"/>
          <w:color w:val="000000"/>
          <w:spacing w:val="-3"/>
          <w:sz w:val="32"/>
          <w:szCs w:val="22"/>
          <w:lang w:val="en-US" w:eastAsia="en-US" w:bidi="ar-SA"/>
        </w:rPr>
        <w:t>影响、后果、责任和应急处理情况进行调查评估，提出改进建议，</w:t>
      </w:r>
      <w:r>
        <w:rPr>
          <w:rFonts w:hint="eastAsia" w:ascii="仿宋_GB2312" w:hAnsi="仿宋_GB2312" w:eastAsia="仿宋_GB2312" w:cs="仿宋_GB2312"/>
          <w:color w:val="000000"/>
          <w:sz w:val="32"/>
          <w:szCs w:val="22"/>
          <w:lang w:val="en-US" w:eastAsia="en-US" w:bidi="ar-SA"/>
        </w:rPr>
        <w:t>报市政府和金华市安全监管部门。</w:t>
      </w:r>
    </w:p>
    <w:p w14:paraId="66DE0AE9">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七、应急预案管理</w:t>
      </w:r>
    </w:p>
    <w:p w14:paraId="443D6E50">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（一）宣传、培训和演练</w:t>
      </w:r>
    </w:p>
    <w:p w14:paraId="20E4FFCF">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1.宣传</w:t>
      </w:r>
    </w:p>
    <w:p w14:paraId="3973AF78">
      <w:pPr>
        <w:keepNext w:val="0"/>
        <w:keepLines w:val="0"/>
        <w:pageBreakBefore w:val="0"/>
        <w:widowControl w:val="0"/>
        <w:kinsoku/>
        <w:wordWrap/>
        <w:overflowPunct/>
        <w:topLinePunct w:val="0"/>
        <w:autoSpaceDE/>
        <w:autoSpaceDN/>
        <w:bidi w:val="0"/>
        <w:adjustRightInd/>
        <w:snapToGrid/>
        <w:spacing w:after="0" w:line="600" w:lineRule="exact"/>
        <w:ind w:left="0" w:right="0" w:firstLine="62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4"/>
          <w:sz w:val="32"/>
          <w:szCs w:val="22"/>
          <w:lang w:val="en-US" w:eastAsia="en-US" w:bidi="ar-SA"/>
        </w:rPr>
        <w:t>镇乡（街道）、各有关部门（单位）要加大对安全生产宣传、</w:t>
      </w:r>
      <w:r>
        <w:rPr>
          <w:rFonts w:hint="eastAsia" w:ascii="仿宋_GB2312" w:hAnsi="仿宋_GB2312" w:eastAsia="仿宋_GB2312" w:cs="仿宋_GB2312"/>
          <w:color w:val="000000"/>
          <w:spacing w:val="2"/>
          <w:sz w:val="32"/>
          <w:szCs w:val="22"/>
          <w:lang w:val="en-US" w:eastAsia="en-US" w:bidi="ar-SA"/>
        </w:rPr>
        <w:t>教育和培训工作力度，不断提高矿山从业人员素质，落实矿山企业法人安全生产职责和安全生产各项规章制度，努力减少矿山伤亡事故的发生。最大限度地公布矿山应急预案信息，宣传解释矿山事故应急预案以及相关的政策法规，增强从业人员的事故应急</w:t>
      </w:r>
      <w:r>
        <w:rPr>
          <w:rFonts w:hint="eastAsia" w:ascii="仿宋_GB2312" w:hAnsi="仿宋_GB2312" w:eastAsia="仿宋_GB2312" w:cs="仿宋_GB2312"/>
          <w:color w:val="000000"/>
          <w:sz w:val="32"/>
          <w:szCs w:val="22"/>
          <w:lang w:val="en-US" w:eastAsia="en-US" w:bidi="ar-SA"/>
        </w:rPr>
        <w:t>意识，提高预防、自救、互救能力。</w:t>
      </w:r>
    </w:p>
    <w:p w14:paraId="7A3B2F5F">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2.培训</w:t>
      </w:r>
    </w:p>
    <w:p w14:paraId="52EB156E">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各有关部门要定期组织应急管理、救援人员的业务知识和技</w:t>
      </w:r>
      <w:r>
        <w:rPr>
          <w:rFonts w:hint="eastAsia" w:ascii="仿宋_GB2312" w:hAnsi="仿宋_GB2312" w:eastAsia="仿宋_GB2312" w:cs="仿宋_GB2312"/>
          <w:color w:val="000000"/>
          <w:sz w:val="32"/>
          <w:szCs w:val="22"/>
          <w:lang w:val="en-US" w:eastAsia="en-US" w:bidi="ar-SA"/>
        </w:rPr>
        <w:t>能的培训。</w:t>
      </w:r>
    </w:p>
    <w:p w14:paraId="260E8D30">
      <w:pPr>
        <w:keepNext w:val="0"/>
        <w:keepLines w:val="0"/>
        <w:pageBreakBefore w:val="0"/>
        <w:widowControl w:val="0"/>
        <w:kinsoku/>
        <w:wordWrap/>
        <w:overflowPunct/>
        <w:topLinePunct w:val="0"/>
        <w:autoSpaceDE/>
        <w:autoSpaceDN/>
        <w:bidi w:val="0"/>
        <w:adjustRightInd/>
        <w:snapToGrid/>
        <w:spacing w:after="0" w:line="600" w:lineRule="exact"/>
        <w:ind w:left="0" w:right="0" w:firstLine="644"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1"/>
          <w:sz w:val="32"/>
          <w:szCs w:val="22"/>
          <w:lang w:val="en-US" w:eastAsia="en-US" w:bidi="ar-SA"/>
        </w:rPr>
        <w:t>3.演练</w:t>
      </w:r>
    </w:p>
    <w:p w14:paraId="45CFC35A">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各矿山企业按照安监总局</w:t>
      </w:r>
      <w:r>
        <w:rPr>
          <w:rFonts w:hint="eastAsia" w:ascii="仿宋_GB2312" w:hAnsi="仿宋_GB2312" w:eastAsia="仿宋_GB2312" w:cs="仿宋_GB2312"/>
          <w:color w:val="000000"/>
          <w:spacing w:val="-2"/>
          <w:sz w:val="32"/>
          <w:szCs w:val="22"/>
          <w:lang w:val="en-US" w:eastAsia="en-US" w:bidi="ar-SA"/>
        </w:rPr>
        <w:t xml:space="preserve"> </w:t>
      </w:r>
      <w:r>
        <w:rPr>
          <w:rFonts w:hint="eastAsia" w:ascii="仿宋_GB2312" w:hAnsi="仿宋_GB2312" w:eastAsia="仿宋_GB2312" w:cs="仿宋_GB2312"/>
          <w:color w:val="000000"/>
          <w:spacing w:val="3"/>
          <w:sz w:val="32"/>
          <w:szCs w:val="22"/>
          <w:lang w:val="en-US" w:eastAsia="en-US" w:bidi="ar-SA"/>
        </w:rPr>
        <w:t>88</w:t>
      </w:r>
      <w:r>
        <w:rPr>
          <w:rFonts w:hint="eastAsia" w:ascii="仿宋_GB2312" w:hAnsi="仿宋_GB2312" w:eastAsia="仿宋_GB2312" w:cs="仿宋_GB2312"/>
          <w:color w:val="000000"/>
          <w:spacing w:val="-3"/>
          <w:sz w:val="32"/>
          <w:szCs w:val="22"/>
          <w:lang w:val="en-US" w:eastAsia="en-US" w:bidi="ar-SA"/>
        </w:rPr>
        <w:t xml:space="preserve"> </w:t>
      </w:r>
      <w:r>
        <w:rPr>
          <w:rFonts w:hint="eastAsia" w:ascii="仿宋_GB2312" w:hAnsi="仿宋_GB2312" w:eastAsia="仿宋_GB2312" w:cs="仿宋_GB2312"/>
          <w:color w:val="000000"/>
          <w:spacing w:val="-7"/>
          <w:sz w:val="32"/>
          <w:szCs w:val="22"/>
          <w:lang w:val="en-US" w:eastAsia="en-US" w:bidi="ar-SA"/>
        </w:rPr>
        <w:t>号令要求，每半年开展矿山事故</w:t>
      </w:r>
      <w:r>
        <w:rPr>
          <w:rFonts w:hint="eastAsia" w:ascii="仿宋_GB2312" w:hAnsi="仿宋_GB2312" w:eastAsia="仿宋_GB2312" w:cs="仿宋_GB2312"/>
          <w:color w:val="000000"/>
          <w:sz w:val="32"/>
          <w:szCs w:val="22"/>
          <w:lang w:val="en-US" w:eastAsia="en-US" w:bidi="ar-SA"/>
        </w:rPr>
        <w:t>应急救援演练。</w:t>
      </w:r>
    </w:p>
    <w:p w14:paraId="57777E58">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（二）奖惩</w:t>
      </w:r>
    </w:p>
    <w:p w14:paraId="31A75898">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对参加矿山安全事故应急救援工作并作出突出贡献的集体和</w:t>
      </w:r>
      <w:r>
        <w:rPr>
          <w:rFonts w:hint="eastAsia" w:ascii="仿宋_GB2312" w:hAnsi="仿宋_GB2312" w:eastAsia="仿宋_GB2312" w:cs="仿宋_GB2312"/>
          <w:color w:val="000000"/>
          <w:spacing w:val="2"/>
          <w:sz w:val="32"/>
          <w:szCs w:val="22"/>
          <w:lang w:val="en-US" w:eastAsia="en-US" w:bidi="ar-SA"/>
        </w:rPr>
        <w:t>个人给予表彰和奖励。对在矿山事故的预防、通报、报告、控制和处理过程中，有玩忽职守、失职、渎职等行为，或者迟报、瞒报、漏报重要情况的有关责任人，依照有关法律、法规，给予行</w:t>
      </w:r>
      <w:bookmarkStart w:id="13" w:name="br1_14"/>
      <w:bookmarkEnd w:id="13"/>
      <w:r>
        <w:rPr>
          <w:rFonts w:hint="eastAsia" w:ascii="仿宋_GB2312" w:hAnsi="仿宋_GB2312" w:eastAsia="仿宋_GB2312" w:cs="仿宋_GB2312"/>
          <w:color w:val="000000"/>
          <w:sz w:val="32"/>
          <w:szCs w:val="22"/>
          <w:lang w:val="en-US" w:eastAsia="en-US" w:bidi="ar-SA"/>
        </w:rPr>
        <w:t>政处分，构成犯罪的依法追究刑事责任。</w:t>
      </w:r>
    </w:p>
    <w:p w14:paraId="02091A97">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color w:val="000000"/>
          <w:sz w:val="32"/>
          <w:szCs w:val="22"/>
          <w:lang w:val="en-US" w:eastAsia="en-US" w:bidi="ar-SA"/>
        </w:rPr>
      </w:pPr>
      <w:r>
        <w:rPr>
          <w:rFonts w:hint="eastAsia" w:ascii="黑体" w:hAnsi="黑体" w:eastAsia="黑体" w:cs="黑体"/>
          <w:color w:val="000000"/>
          <w:sz w:val="32"/>
          <w:szCs w:val="22"/>
          <w:lang w:val="en-US" w:eastAsia="en-US" w:bidi="ar-SA"/>
        </w:rPr>
        <w:t>八、附则</w:t>
      </w:r>
    </w:p>
    <w:p w14:paraId="4AF81E59">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（一）有关说明</w:t>
      </w:r>
    </w:p>
    <w:p w14:paraId="05E1BDC5">
      <w:pPr>
        <w:keepNext w:val="0"/>
        <w:keepLines w:val="0"/>
        <w:pageBreakBefore w:val="0"/>
        <w:widowControl w:val="0"/>
        <w:kinsoku/>
        <w:wordWrap/>
        <w:overflowPunct/>
        <w:topLinePunct w:val="0"/>
        <w:autoSpaceDE/>
        <w:autoSpaceDN/>
        <w:bidi w:val="0"/>
        <w:adjustRightInd/>
        <w:snapToGrid/>
        <w:spacing w:after="0" w:line="600" w:lineRule="exact"/>
        <w:ind w:left="0" w:right="0" w:firstLine="628"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本预案有关数量的描述中，"以上"含本数、"以下"不含本数。</w:t>
      </w:r>
    </w:p>
    <w:p w14:paraId="6744FC1E">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（二）预案管理与更新</w:t>
      </w:r>
    </w:p>
    <w:p w14:paraId="71A69CCC">
      <w:pPr>
        <w:keepNext w:val="0"/>
        <w:keepLines w:val="0"/>
        <w:pageBreakBefore w:val="0"/>
        <w:widowControl w:val="0"/>
        <w:kinsoku/>
        <w:wordWrap/>
        <w:overflowPunct/>
        <w:topLinePunct w:val="0"/>
        <w:autoSpaceDE/>
        <w:autoSpaceDN/>
        <w:bidi w:val="0"/>
        <w:adjustRightInd/>
        <w:snapToGrid/>
        <w:spacing w:after="0" w:line="600" w:lineRule="exact"/>
        <w:ind w:left="0" w:right="0" w:firstLine="652"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pacing w:val="3"/>
          <w:sz w:val="32"/>
          <w:szCs w:val="22"/>
          <w:lang w:val="en-US" w:eastAsia="en-US" w:bidi="ar-SA"/>
        </w:rPr>
        <w:t>本预案由市应急管理局会同有关部门根据矿山事故应急对策</w:t>
      </w:r>
      <w:r>
        <w:rPr>
          <w:rFonts w:hint="eastAsia" w:ascii="仿宋_GB2312" w:hAnsi="仿宋_GB2312" w:eastAsia="仿宋_GB2312" w:cs="仿宋_GB2312"/>
          <w:color w:val="000000"/>
          <w:sz w:val="32"/>
          <w:szCs w:val="22"/>
          <w:lang w:val="en-US" w:eastAsia="en-US" w:bidi="ar-SA"/>
        </w:rPr>
        <w:t>的不断完善和应急机构的调整及时修订。</w:t>
      </w:r>
    </w:p>
    <w:p w14:paraId="2064926C">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楷体_GB2312" w:hAnsi="楷体_GB2312" w:eastAsia="楷体_GB2312" w:cs="楷体_GB2312"/>
          <w:color w:val="000000"/>
          <w:sz w:val="32"/>
          <w:szCs w:val="22"/>
          <w:lang w:val="en-US" w:eastAsia="en-US" w:bidi="ar-SA"/>
        </w:rPr>
      </w:pPr>
      <w:r>
        <w:rPr>
          <w:rFonts w:hint="eastAsia" w:ascii="楷体_GB2312" w:hAnsi="楷体_GB2312" w:eastAsia="楷体_GB2312" w:cs="楷体_GB2312"/>
          <w:color w:val="000000"/>
          <w:sz w:val="32"/>
          <w:szCs w:val="22"/>
          <w:lang w:val="en-US" w:eastAsia="en-US" w:bidi="ar-SA"/>
        </w:rPr>
        <w:t>（三）预案实施时间及解释</w:t>
      </w:r>
    </w:p>
    <w:p w14:paraId="5B93927D">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r>
        <w:rPr>
          <w:rFonts w:hint="eastAsia" w:ascii="仿宋_GB2312" w:hAnsi="仿宋_GB2312" w:eastAsia="仿宋_GB2312" w:cs="仿宋_GB2312"/>
          <w:color w:val="000000"/>
          <w:sz w:val="32"/>
          <w:szCs w:val="22"/>
          <w:lang w:val="en-US" w:eastAsia="en-US" w:bidi="ar-SA"/>
        </w:rPr>
        <w:t>本预案自印发之日起实施，由市应急管理局负责解释。</w:t>
      </w:r>
    </w:p>
    <w:p w14:paraId="1F585A18">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en-US" w:bidi="ar-SA"/>
        </w:rPr>
      </w:pPr>
    </w:p>
    <w:p w14:paraId="13A78111">
      <w:pPr>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仿宋_GB2312" w:hAnsi="仿宋_GB2312" w:eastAsia="仿宋_GB2312" w:cs="仿宋_GB2312"/>
          <w:color w:val="000000"/>
          <w:sz w:val="32"/>
          <w:szCs w:val="22"/>
          <w:lang w:val="en-US" w:eastAsia="zh-CN" w:bidi="ar-SA"/>
        </w:rPr>
      </w:pPr>
      <w:r>
        <w:rPr>
          <w:rFonts w:hint="eastAsia" w:ascii="仿宋_GB2312" w:hAnsi="仿宋_GB2312" w:eastAsia="仿宋_GB2312" w:cs="仿宋_GB2312"/>
          <w:color w:val="000000"/>
          <w:sz w:val="32"/>
          <w:szCs w:val="22"/>
          <w:lang w:val="en-US" w:eastAsia="zh-CN" w:bidi="ar-SA"/>
        </w:rPr>
        <w:t>附件：1.东阳市矿山事故应急预案启动程序框架图</w:t>
      </w:r>
    </w:p>
    <w:p w14:paraId="324A19A3">
      <w:pPr>
        <w:keepNext w:val="0"/>
        <w:keepLines w:val="0"/>
        <w:pageBreakBefore w:val="0"/>
        <w:widowControl w:val="0"/>
        <w:kinsoku/>
        <w:wordWrap/>
        <w:overflowPunct/>
        <w:topLinePunct w:val="0"/>
        <w:autoSpaceDE/>
        <w:autoSpaceDN/>
        <w:bidi w:val="0"/>
        <w:adjustRightInd/>
        <w:snapToGrid/>
        <w:spacing w:after="0" w:line="600" w:lineRule="exact"/>
        <w:ind w:left="0" w:right="0" w:firstLine="1600" w:firstLineChars="500"/>
        <w:jc w:val="both"/>
        <w:textAlignment w:val="auto"/>
        <w:rPr>
          <w:rFonts w:hint="default" w:ascii="仿宋_GB2312" w:hAnsi="仿宋_GB2312" w:eastAsia="仿宋_GB2312" w:cs="仿宋_GB2312"/>
          <w:color w:val="000000"/>
          <w:sz w:val="32"/>
          <w:szCs w:val="22"/>
          <w:lang w:val="en-US" w:eastAsia="zh-CN" w:bidi="ar-SA"/>
        </w:rPr>
      </w:pPr>
      <w:r>
        <w:rPr>
          <w:rFonts w:hint="eastAsia" w:ascii="仿宋_GB2312" w:hAnsi="仿宋_GB2312" w:eastAsia="仿宋_GB2312" w:cs="仿宋_GB2312"/>
          <w:color w:val="000000"/>
          <w:sz w:val="32"/>
          <w:szCs w:val="22"/>
          <w:lang w:val="en-US" w:eastAsia="zh-CN" w:bidi="ar-SA"/>
        </w:rPr>
        <w:t>2.东阳市矿山事故应急指挥部组成人员通讯录</w:t>
      </w:r>
    </w:p>
    <w:p w14:paraId="51149976">
      <w:pPr>
        <w:keepNext w:val="0"/>
        <w:keepLines w:val="0"/>
        <w:pageBreakBefore w:val="0"/>
        <w:widowControl w:val="0"/>
        <w:kinsoku/>
        <w:wordWrap/>
        <w:overflowPunct/>
        <w:topLinePunct w:val="0"/>
        <w:autoSpaceDE/>
        <w:autoSpaceDN/>
        <w:bidi w:val="0"/>
        <w:adjustRightInd/>
        <w:snapToGrid/>
        <w:spacing w:after="0" w:line="600" w:lineRule="exact"/>
        <w:ind w:right="0"/>
        <w:jc w:val="both"/>
        <w:textAlignment w:val="auto"/>
        <w:rPr>
          <w:rFonts w:hint="eastAsia" w:ascii="黑体" w:hAnsi="黑体" w:eastAsia="黑体" w:cs="黑体"/>
          <w:color w:val="000000"/>
          <w:sz w:val="32"/>
          <w:szCs w:val="22"/>
          <w:lang w:val="en-US" w:eastAsia="zh-CN" w:bidi="ar-SA"/>
        </w:rPr>
      </w:pPr>
      <w:r>
        <w:rPr>
          <w:rFonts w:hint="eastAsia" w:ascii="仿宋_GB2312" w:hAnsi="仿宋_GB2312" w:eastAsia="仿宋_GB2312" w:cs="仿宋_GB2312"/>
          <w:color w:val="000000"/>
          <w:sz w:val="32"/>
          <w:szCs w:val="22"/>
          <w:lang w:val="en-US" w:eastAsia="en-US" w:bidi="ar-SA"/>
        </w:rPr>
        <w:br w:type="page"/>
      </w:r>
      <w:bookmarkStart w:id="14" w:name="br1_15"/>
      <w:bookmarkEnd w:id="14"/>
      <w:bookmarkStart w:id="15" w:name="br1_16"/>
      <w:bookmarkEnd w:id="15"/>
      <w:r>
        <w:rPr>
          <w:rFonts w:hint="eastAsia" w:ascii="黑体" w:hAnsi="黑体" w:eastAsia="黑体" w:cs="黑体"/>
          <w:color w:val="000000"/>
          <w:spacing w:val="2"/>
          <w:sz w:val="32"/>
          <w:szCs w:val="22"/>
          <w:lang w:val="en-US" w:eastAsia="en-US" w:bidi="ar-SA"/>
        </w:rPr>
        <w:t>附件</w:t>
      </w:r>
      <w:r>
        <w:rPr>
          <w:rFonts w:hint="eastAsia" w:ascii="黑体" w:hAnsi="黑体" w:eastAsia="黑体" w:cs="黑体"/>
          <w:color w:val="000000"/>
          <w:spacing w:val="-2"/>
          <w:sz w:val="32"/>
          <w:szCs w:val="22"/>
          <w:lang w:val="en-US" w:eastAsia="zh-CN" w:bidi="ar-SA"/>
        </w:rPr>
        <w:t>1</w:t>
      </w:r>
    </w:p>
    <w:p w14:paraId="2597ED51">
      <w:pPr>
        <w:spacing w:before="229" w:after="0" w:line="439" w:lineRule="exact"/>
        <w:ind w:right="0"/>
        <w:jc w:val="center"/>
        <w:rPr>
          <w:rFonts w:hint="eastAsia" w:ascii="方正小标宋简体" w:hAnsi="方正小标宋简体" w:eastAsia="方正小标宋简体" w:cs="方正小标宋简体"/>
          <w:color w:val="000000"/>
          <w:sz w:val="44"/>
          <w:szCs w:val="44"/>
          <w:lang w:val="en-US" w:eastAsia="en-US" w:bidi="ar-SA"/>
        </w:rPr>
      </w:pPr>
      <w:r>
        <w:rPr>
          <w:rFonts w:hint="eastAsia" w:ascii="方正小标宋简体" w:hAnsi="方正小标宋简体" w:eastAsia="方正小标宋简体" w:cs="方正小标宋简体"/>
          <w:color w:val="000000"/>
          <w:sz w:val="44"/>
          <w:szCs w:val="44"/>
          <w:lang w:val="en-US" w:eastAsia="en-US" w:bidi="ar-SA"/>
        </w:rPr>
        <w:t>东阳市矿山事故应急预案启动程序框架图</w:t>
      </w:r>
    </w:p>
    <w:p w14:paraId="1E481291">
      <w:pPr>
        <w:spacing w:before="971" w:after="0" w:line="250" w:lineRule="exact"/>
        <w:ind w:left="3605" w:right="0" w:firstLine="0"/>
        <w:jc w:val="left"/>
        <w:rPr>
          <w:rFonts w:hAnsi="Calibri"/>
          <w:color w:val="000000"/>
          <w:szCs w:val="22"/>
          <w:lang w:val="en-US" w:eastAsia="en-US" w:bidi="ar-SA"/>
        </w:rPr>
      </w:pPr>
      <w:r>
        <w:drawing>
          <wp:anchor distT="0" distB="0" distL="114300" distR="114300" simplePos="0" relativeHeight="251659264" behindDoc="1" locked="0" layoutInCell="1" allowOverlap="1">
            <wp:simplePos x="0" y="0"/>
            <wp:positionH relativeFrom="page">
              <wp:posOffset>825500</wp:posOffset>
            </wp:positionH>
            <wp:positionV relativeFrom="page">
              <wp:posOffset>2308860</wp:posOffset>
            </wp:positionV>
            <wp:extent cx="5826760" cy="7117080"/>
            <wp:effectExtent l="0" t="0" r="2540" b="762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5826760" cy="7117080"/>
                    </a:xfrm>
                    <a:prstGeom prst="rect">
                      <a:avLst/>
                    </a:prstGeom>
                    <a:noFill/>
                    <a:ln>
                      <a:noFill/>
                    </a:ln>
                  </pic:spPr>
                </pic:pic>
              </a:graphicData>
            </a:graphic>
          </wp:anchor>
        </w:drawing>
      </w:r>
      <w:r>
        <w:rPr>
          <w:rFonts w:ascii="宋体" w:hAnsi="宋体" w:cs="宋体" w:eastAsiaTheme="minorEastAsia"/>
          <w:color w:val="000000"/>
          <w:szCs w:val="22"/>
          <w:lang w:val="en-US" w:eastAsia="en-US" w:bidi="ar-SA"/>
        </w:rPr>
        <w:t>突发事件</w:t>
      </w:r>
    </w:p>
    <w:p w14:paraId="7DCF57F9">
      <w:pPr>
        <w:spacing w:before="830" w:after="0" w:line="250" w:lineRule="exact"/>
        <w:ind w:left="1891"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当地安监所</w:t>
      </w:r>
      <w:r>
        <w:rPr>
          <w:rFonts w:hAnsi="Calibri" w:eastAsiaTheme="minorEastAsia" w:cstheme="minorBidi"/>
          <w:color w:val="000000"/>
          <w:spacing w:val="1793"/>
          <w:szCs w:val="22"/>
          <w:lang w:val="en-US" w:eastAsia="en-US" w:bidi="ar-SA"/>
        </w:rPr>
        <w:t xml:space="preserve"> </w:t>
      </w:r>
      <w:r>
        <w:rPr>
          <w:rFonts w:ascii="宋体" w:hAnsi="宋体" w:cs="宋体" w:eastAsiaTheme="minorEastAsia"/>
          <w:color w:val="000000"/>
          <w:szCs w:val="22"/>
          <w:lang w:val="en-US" w:eastAsia="en-US" w:bidi="ar-SA"/>
        </w:rPr>
        <w:t>当地派出所</w:t>
      </w:r>
    </w:p>
    <w:p w14:paraId="715FB8A6">
      <w:pPr>
        <w:spacing w:before="1056" w:after="0" w:line="250" w:lineRule="exact"/>
        <w:ind w:left="533"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市应急管</w:t>
      </w:r>
      <w:r>
        <w:rPr>
          <w:rFonts w:hint="eastAsia" w:ascii="宋体" w:hAnsi="宋体" w:cs="宋体" w:eastAsiaTheme="minorEastAsia"/>
          <w:color w:val="000000"/>
          <w:szCs w:val="22"/>
          <w:lang w:val="en-US" w:eastAsia="zh-CN" w:bidi="ar-SA"/>
        </w:rPr>
        <w:t xml:space="preserve">           </w:t>
      </w:r>
      <w:r>
        <w:rPr>
          <w:rFonts w:ascii="宋体" w:hAnsi="宋体" w:cs="宋体" w:eastAsiaTheme="minorEastAsia"/>
          <w:color w:val="000000"/>
          <w:szCs w:val="22"/>
          <w:lang w:val="en-US" w:eastAsia="en-US" w:bidi="ar-SA"/>
        </w:rPr>
        <w:t>市公安局</w:t>
      </w:r>
      <w:r>
        <w:rPr>
          <w:rFonts w:hAnsi="Calibri" w:eastAsiaTheme="minorEastAsia" w:cstheme="minorBidi"/>
          <w:color w:val="000000"/>
          <w:spacing w:val="737"/>
          <w:szCs w:val="22"/>
          <w:lang w:val="en-US" w:eastAsia="en-US" w:bidi="ar-SA"/>
        </w:rPr>
        <w:t xml:space="preserve"> </w:t>
      </w:r>
      <w:r>
        <w:rPr>
          <w:rFonts w:ascii="宋体" w:hAnsi="宋体" w:cs="宋体" w:eastAsiaTheme="minorEastAsia"/>
          <w:color w:val="000000"/>
          <w:szCs w:val="22"/>
          <w:lang w:val="en-US" w:eastAsia="en-US" w:bidi="ar-SA"/>
        </w:rPr>
        <w:t>市委、市政府</w:t>
      </w:r>
      <w:r>
        <w:rPr>
          <w:rFonts w:hint="eastAsia" w:ascii="宋体" w:hAnsi="宋体" w:cs="宋体" w:eastAsiaTheme="minorEastAsia"/>
          <w:color w:val="000000"/>
          <w:szCs w:val="22"/>
          <w:lang w:val="en-US" w:eastAsia="zh-CN" w:bidi="ar-SA"/>
        </w:rPr>
        <w:t xml:space="preserve">        </w:t>
      </w:r>
      <w:r>
        <w:rPr>
          <w:rFonts w:ascii="宋体" w:hAnsi="宋体" w:cs="宋体" w:eastAsiaTheme="minorEastAsia"/>
          <w:color w:val="000000"/>
          <w:szCs w:val="22"/>
          <w:lang w:val="en-US" w:eastAsia="en-US" w:bidi="ar-SA"/>
        </w:rPr>
        <w:t>镇乡人民政府、</w:t>
      </w:r>
    </w:p>
    <w:p w14:paraId="485D986D">
      <w:pPr>
        <w:spacing w:before="36" w:after="0" w:line="276" w:lineRule="exact"/>
        <w:ind w:left="773"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理局</w:t>
      </w:r>
      <w:r>
        <w:rPr>
          <w:rFonts w:hAnsi="Calibri" w:eastAsiaTheme="minorEastAsia" w:cstheme="minorBidi"/>
          <w:color w:val="000000"/>
          <w:spacing w:val="1289"/>
          <w:szCs w:val="22"/>
          <w:lang w:val="en-US" w:eastAsia="en-US" w:bidi="ar-SA"/>
        </w:rPr>
        <w:t xml:space="preserve"> </w:t>
      </w:r>
      <w:r>
        <w:rPr>
          <w:rFonts w:ascii="Calibri" w:hAnsi="Calibri" w:eastAsiaTheme="minorEastAsia" w:cstheme="minorBidi"/>
          <w:color w:val="000000"/>
          <w:spacing w:val="-2"/>
          <w:szCs w:val="22"/>
          <w:lang w:val="en-US" w:eastAsia="en-US" w:bidi="ar-SA"/>
        </w:rPr>
        <w:t>110</w:t>
      </w:r>
      <w:r>
        <w:rPr>
          <w:rFonts w:hAnsi="Calibri" w:eastAsiaTheme="minorEastAsia" w:cstheme="minorBidi"/>
          <w:color w:val="000000"/>
          <w:spacing w:val="2"/>
          <w:szCs w:val="22"/>
          <w:lang w:val="en-US" w:eastAsia="en-US" w:bidi="ar-SA"/>
        </w:rPr>
        <w:t xml:space="preserve"> </w:t>
      </w:r>
      <w:r>
        <w:rPr>
          <w:rFonts w:ascii="宋体" w:hAnsi="宋体" w:cs="宋体" w:eastAsiaTheme="minorEastAsia"/>
          <w:color w:val="000000"/>
          <w:szCs w:val="22"/>
          <w:lang w:val="en-US" w:eastAsia="en-US" w:bidi="ar-SA"/>
        </w:rPr>
        <w:t>指挥中心</w:t>
      </w:r>
      <w:r>
        <w:rPr>
          <w:rFonts w:hAnsi="Calibri" w:eastAsiaTheme="minorEastAsia" w:cstheme="minorBidi"/>
          <w:color w:val="000000"/>
          <w:spacing w:val="886"/>
          <w:szCs w:val="22"/>
          <w:lang w:val="en-US" w:eastAsia="en-US" w:bidi="ar-SA"/>
        </w:rPr>
        <w:t xml:space="preserve"> </w:t>
      </w:r>
      <w:r>
        <w:rPr>
          <w:rFonts w:ascii="宋体" w:hAnsi="宋体" w:cs="宋体" w:eastAsiaTheme="minorEastAsia"/>
          <w:color w:val="000000"/>
          <w:szCs w:val="22"/>
          <w:lang w:val="en-US" w:eastAsia="en-US" w:bidi="ar-SA"/>
        </w:rPr>
        <w:t>值班室</w:t>
      </w:r>
      <w:r>
        <w:rPr>
          <w:rFonts w:hAnsi="Calibri" w:eastAsiaTheme="minorEastAsia" w:cstheme="minorBidi"/>
          <w:color w:val="000000"/>
          <w:spacing w:val="1433"/>
          <w:szCs w:val="22"/>
          <w:lang w:val="en-US" w:eastAsia="en-US" w:bidi="ar-SA"/>
        </w:rPr>
        <w:t xml:space="preserve"> </w:t>
      </w:r>
      <w:r>
        <w:rPr>
          <w:rFonts w:ascii="宋体" w:hAnsi="宋体" w:cs="宋体" w:eastAsiaTheme="minorEastAsia"/>
          <w:color w:val="000000"/>
          <w:szCs w:val="22"/>
          <w:lang w:val="en-US" w:eastAsia="en-US" w:bidi="ar-SA"/>
        </w:rPr>
        <w:t>街道办事处</w:t>
      </w:r>
    </w:p>
    <w:p w14:paraId="574EECEC">
      <w:pPr>
        <w:spacing w:before="1586" w:after="0" w:line="250" w:lineRule="exact"/>
        <w:ind w:left="4253"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市指挥部</w:t>
      </w:r>
      <w:r>
        <w:rPr>
          <w:rFonts w:hAnsi="Calibri" w:eastAsiaTheme="minorEastAsia" w:cstheme="minorBidi"/>
          <w:color w:val="000000"/>
          <w:spacing w:val="1150"/>
          <w:szCs w:val="22"/>
          <w:lang w:val="en-US" w:eastAsia="en-US" w:bidi="ar-SA"/>
        </w:rPr>
        <w:t xml:space="preserve"> </w:t>
      </w:r>
      <w:r>
        <w:rPr>
          <w:rFonts w:ascii="宋体" w:hAnsi="宋体" w:cs="宋体" w:eastAsiaTheme="minorEastAsia"/>
          <w:color w:val="000000"/>
          <w:szCs w:val="22"/>
          <w:lang w:val="en-US" w:eastAsia="en-US" w:bidi="ar-SA"/>
        </w:rPr>
        <w:t>金华市指挥部</w:t>
      </w:r>
    </w:p>
    <w:p w14:paraId="510E909D">
      <w:pPr>
        <w:spacing w:before="1056" w:after="0" w:line="250" w:lineRule="exact"/>
        <w:ind w:left="4229"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预案启动</w:t>
      </w:r>
    </w:p>
    <w:p w14:paraId="26CB6D66">
      <w:pPr>
        <w:spacing w:before="1056" w:after="0" w:line="250" w:lineRule="exact"/>
        <w:ind w:left="4109"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现场指挥部</w:t>
      </w:r>
    </w:p>
    <w:p w14:paraId="1F620299">
      <w:pPr>
        <w:keepNext w:val="0"/>
        <w:keepLines w:val="0"/>
        <w:pageBreakBefore w:val="0"/>
        <w:widowControl/>
        <w:kinsoku/>
        <w:wordWrap/>
        <w:overflowPunct/>
        <w:topLinePunct w:val="0"/>
        <w:autoSpaceDE/>
        <w:autoSpaceDN/>
        <w:bidi w:val="0"/>
        <w:adjustRightInd/>
        <w:snapToGrid/>
        <w:spacing w:after="0" w:line="312" w:lineRule="exact"/>
        <w:ind w:left="0" w:right="0" w:firstLine="0"/>
        <w:jc w:val="left"/>
        <w:textAlignment w:val="auto"/>
        <w:rPr>
          <w:rFonts w:ascii="宋体" w:hAnsi="宋体" w:cs="宋体" w:eastAsiaTheme="minorEastAsia"/>
          <w:color w:val="000000"/>
          <w:szCs w:val="22"/>
          <w:lang w:val="en-US" w:eastAsia="en-US" w:bidi="ar-SA"/>
        </w:rPr>
      </w:pPr>
    </w:p>
    <w:p w14:paraId="0D83CD69">
      <w:pPr>
        <w:keepNext w:val="0"/>
        <w:keepLines w:val="0"/>
        <w:pageBreakBefore w:val="0"/>
        <w:widowControl/>
        <w:kinsoku/>
        <w:wordWrap/>
        <w:overflowPunct/>
        <w:topLinePunct w:val="0"/>
        <w:autoSpaceDE/>
        <w:autoSpaceDN/>
        <w:bidi w:val="0"/>
        <w:adjustRightInd/>
        <w:snapToGrid/>
        <w:spacing w:after="0" w:line="312" w:lineRule="exact"/>
        <w:ind w:left="0" w:right="0" w:firstLine="0"/>
        <w:jc w:val="left"/>
        <w:textAlignment w:val="auto"/>
        <w:rPr>
          <w:rFonts w:ascii="宋体" w:hAnsi="宋体" w:cs="宋体" w:eastAsiaTheme="minorEastAsia"/>
          <w:color w:val="000000"/>
          <w:szCs w:val="22"/>
          <w:lang w:val="en-US" w:eastAsia="en-US" w:bidi="ar-SA"/>
        </w:rPr>
      </w:pPr>
    </w:p>
    <w:p w14:paraId="64F32E85">
      <w:pPr>
        <w:keepNext w:val="0"/>
        <w:keepLines w:val="0"/>
        <w:pageBreakBefore w:val="0"/>
        <w:widowControl/>
        <w:kinsoku/>
        <w:wordWrap/>
        <w:overflowPunct/>
        <w:topLinePunct w:val="0"/>
        <w:autoSpaceDE/>
        <w:autoSpaceDN/>
        <w:bidi w:val="0"/>
        <w:adjustRightInd/>
        <w:snapToGrid/>
        <w:spacing w:after="0" w:line="312" w:lineRule="exact"/>
        <w:ind w:left="0" w:right="0" w:firstLine="0"/>
        <w:jc w:val="left"/>
        <w:textAlignment w:val="auto"/>
        <w:rPr>
          <w:rFonts w:ascii="宋体" w:hAnsi="宋体" w:cs="宋体" w:eastAsiaTheme="minorEastAsia"/>
          <w:color w:val="000000"/>
          <w:szCs w:val="22"/>
          <w:lang w:val="en-US" w:eastAsia="en-US" w:bidi="ar-SA"/>
        </w:rPr>
      </w:pPr>
    </w:p>
    <w:p w14:paraId="24A2B0AE">
      <w:pPr>
        <w:keepNext w:val="0"/>
        <w:keepLines w:val="0"/>
        <w:pageBreakBefore w:val="0"/>
        <w:widowControl/>
        <w:kinsoku/>
        <w:wordWrap/>
        <w:overflowPunct/>
        <w:topLinePunct w:val="0"/>
        <w:autoSpaceDE/>
        <w:autoSpaceDN/>
        <w:bidi w:val="0"/>
        <w:adjustRightInd/>
        <w:snapToGrid/>
        <w:spacing w:after="0" w:line="312" w:lineRule="exact"/>
        <w:ind w:left="1200" w:leftChars="500" w:right="0" w:firstLine="0" w:firstLineChars="0"/>
        <w:jc w:val="left"/>
        <w:textAlignment w:val="auto"/>
        <w:rPr>
          <w:rFonts w:hAnsi="Calibri"/>
          <w:color w:val="000000"/>
          <w:szCs w:val="22"/>
          <w:lang w:val="en-US" w:eastAsia="en-US" w:bidi="ar-SA"/>
        </w:rPr>
        <w:sectPr>
          <w:footerReference r:id="rId4" w:type="default"/>
          <w:pgSz w:w="11900" w:h="16820"/>
          <w:pgMar w:top="1587" w:right="1587" w:bottom="1587" w:left="1587" w:header="720" w:footer="1247" w:gutter="0"/>
          <w:pgNumType w:start="1"/>
          <w:cols w:space="0" w:num="1"/>
          <w:rtlGutter w:val="0"/>
          <w:docGrid w:linePitch="1" w:charSpace="0"/>
        </w:sectPr>
      </w:pPr>
      <w:r>
        <w:rPr>
          <w:rFonts w:ascii="宋体" w:hAnsi="宋体" w:cs="宋体" w:eastAsiaTheme="minorEastAsia"/>
          <w:color w:val="000000"/>
          <w:szCs w:val="22"/>
          <w:lang w:val="en-US" w:eastAsia="en-US" w:bidi="ar-SA"/>
        </w:rPr>
        <w:t>现</w:t>
      </w:r>
      <w:r>
        <w:rPr>
          <w:rFonts w:hAnsi="Calibri" w:eastAsiaTheme="minorEastAsia" w:cstheme="minorBidi"/>
          <w:color w:val="000000"/>
          <w:spacing w:val="1044"/>
          <w:szCs w:val="22"/>
          <w:lang w:val="en-US" w:eastAsia="en-US" w:bidi="ar-SA"/>
        </w:rPr>
        <w:t xml:space="preserve"> </w:t>
      </w:r>
      <w:r>
        <w:rPr>
          <w:rFonts w:ascii="宋体" w:hAnsi="宋体" w:cs="宋体" w:eastAsiaTheme="minorEastAsia"/>
          <w:color w:val="000000"/>
          <w:szCs w:val="22"/>
          <w:lang w:val="en-US" w:eastAsia="en-US" w:bidi="ar-SA"/>
        </w:rPr>
        <w:t>医</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警</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后</w:t>
      </w:r>
      <w:r>
        <w:rPr>
          <w:rFonts w:hint="eastAsia" w:ascii="宋体" w:hAnsi="宋体" w:cs="宋体" w:eastAsiaTheme="minorEastAsia"/>
          <w:color w:val="000000"/>
          <w:szCs w:val="22"/>
          <w:lang w:val="en-US" w:eastAsia="zh-CN" w:bidi="ar-SA"/>
        </w:rPr>
        <w:t xml:space="preserve">         </w:t>
      </w:r>
      <w:r>
        <w:rPr>
          <w:rFonts w:ascii="宋体" w:hAnsi="宋体" w:cs="宋体" w:eastAsiaTheme="minorEastAsia"/>
          <w:color w:val="000000"/>
          <w:szCs w:val="22"/>
          <w:lang w:val="en-US" w:eastAsia="en-US" w:bidi="ar-SA"/>
        </w:rPr>
        <w:t>专</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通</w:t>
      </w:r>
      <w:r>
        <w:rPr>
          <w:rFonts w:ascii="宋体" w:hAnsi="宋体" w:cs="宋体" w:eastAsiaTheme="minorEastAsia"/>
          <w:color w:val="000000"/>
          <w:szCs w:val="22"/>
          <w:lang w:val="en-US" w:eastAsia="en-US" w:bidi="ar-SA"/>
        </w:rPr>
        <w:cr/>
      </w:r>
      <w:r>
        <w:rPr>
          <w:rFonts w:ascii="宋体" w:hAnsi="宋体" w:cs="宋体" w:eastAsiaTheme="minorEastAsia"/>
          <w:color w:val="000000"/>
          <w:szCs w:val="22"/>
          <w:lang w:val="en-US" w:eastAsia="en-US" w:bidi="ar-SA"/>
        </w:rPr>
        <w:t>场</w:t>
      </w:r>
      <w:r>
        <w:rPr>
          <w:rFonts w:hAnsi="Calibri" w:eastAsiaTheme="minorEastAsia" w:cstheme="minorBidi"/>
          <w:color w:val="000000"/>
          <w:spacing w:val="1044"/>
          <w:szCs w:val="22"/>
          <w:lang w:val="en-US" w:eastAsia="en-US" w:bidi="ar-SA"/>
        </w:rPr>
        <w:t xml:space="preserve"> </w:t>
      </w:r>
      <w:r>
        <w:rPr>
          <w:rFonts w:ascii="宋体" w:hAnsi="宋体" w:cs="宋体" w:eastAsiaTheme="minorEastAsia"/>
          <w:color w:val="000000"/>
          <w:szCs w:val="22"/>
          <w:lang w:val="en-US" w:eastAsia="en-US" w:bidi="ar-SA"/>
        </w:rPr>
        <w:t>疗</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戒</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勤</w:t>
      </w:r>
      <w:r>
        <w:rPr>
          <w:rFonts w:hAnsi="Calibri" w:eastAsiaTheme="minorEastAsia" w:cstheme="minorBidi"/>
          <w:color w:val="000000"/>
          <w:spacing w:val="1078"/>
          <w:szCs w:val="22"/>
          <w:lang w:val="en-US" w:eastAsia="en-US" w:bidi="ar-SA"/>
        </w:rPr>
        <w:t xml:space="preserve"> </w:t>
      </w:r>
      <w:r>
        <w:rPr>
          <w:rFonts w:ascii="宋体" w:hAnsi="宋体" w:cs="宋体" w:eastAsiaTheme="minorEastAsia"/>
          <w:color w:val="000000"/>
          <w:szCs w:val="22"/>
          <w:lang w:val="en-US" w:eastAsia="en-US" w:bidi="ar-SA"/>
        </w:rPr>
        <w:t>家</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讯 救</w:t>
      </w:r>
      <w:r>
        <w:rPr>
          <w:rFonts w:hAnsi="Calibri" w:eastAsiaTheme="minorEastAsia" w:cstheme="minorBidi"/>
          <w:color w:val="000000"/>
          <w:spacing w:val="1044"/>
          <w:szCs w:val="22"/>
          <w:lang w:val="en-US" w:eastAsia="en-US" w:bidi="ar-SA"/>
        </w:rPr>
        <w:t xml:space="preserve"> </w:t>
      </w:r>
      <w:r>
        <w:rPr>
          <w:rFonts w:ascii="宋体" w:hAnsi="宋体" w:cs="宋体" w:eastAsiaTheme="minorEastAsia"/>
          <w:color w:val="000000"/>
          <w:szCs w:val="22"/>
          <w:lang w:val="en-US" w:eastAsia="en-US" w:bidi="ar-SA"/>
        </w:rPr>
        <w:t>救</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疏</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保</w:t>
      </w:r>
      <w:r>
        <w:rPr>
          <w:rFonts w:hAnsi="Calibri" w:eastAsiaTheme="minorEastAsia" w:cstheme="minorBidi"/>
          <w:color w:val="000000"/>
          <w:spacing w:val="1078"/>
          <w:szCs w:val="22"/>
          <w:lang w:val="en-US" w:eastAsia="en-US" w:bidi="ar-SA"/>
        </w:rPr>
        <w:t xml:space="preserve"> </w:t>
      </w:r>
      <w:r>
        <w:rPr>
          <w:rFonts w:ascii="宋体" w:hAnsi="宋体" w:cs="宋体" w:eastAsiaTheme="minorEastAsia"/>
          <w:color w:val="000000"/>
          <w:szCs w:val="22"/>
          <w:lang w:val="en-US" w:eastAsia="en-US" w:bidi="ar-SA"/>
        </w:rPr>
        <w:t>咨</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保</w:t>
      </w:r>
      <w:r>
        <w:rPr>
          <w:rFonts w:ascii="宋体" w:hAnsi="宋体" w:cs="宋体" w:eastAsiaTheme="minorEastAsia"/>
          <w:color w:val="000000"/>
          <w:szCs w:val="22"/>
          <w:lang w:val="en-US" w:eastAsia="en-US" w:bidi="ar-SA"/>
        </w:rPr>
        <w:cr/>
      </w:r>
      <w:r>
        <w:rPr>
          <w:rFonts w:ascii="宋体" w:hAnsi="宋体" w:cs="宋体" w:eastAsiaTheme="minorEastAsia"/>
          <w:color w:val="000000"/>
          <w:szCs w:val="22"/>
          <w:lang w:val="en-US" w:eastAsia="en-US" w:bidi="ar-SA"/>
        </w:rPr>
        <w:t>援</w:t>
      </w:r>
      <w:r>
        <w:rPr>
          <w:rFonts w:hAnsi="Calibri" w:eastAsiaTheme="minorEastAsia" w:cstheme="minorBidi"/>
          <w:color w:val="000000"/>
          <w:spacing w:val="1044"/>
          <w:szCs w:val="22"/>
          <w:lang w:val="en-US" w:eastAsia="en-US" w:bidi="ar-SA"/>
        </w:rPr>
        <w:t xml:space="preserve"> </w:t>
      </w:r>
      <w:r>
        <w:rPr>
          <w:rFonts w:ascii="宋体" w:hAnsi="宋体" w:cs="宋体" w:eastAsiaTheme="minorEastAsia"/>
          <w:color w:val="000000"/>
          <w:szCs w:val="22"/>
          <w:lang w:val="en-US" w:eastAsia="en-US" w:bidi="ar-SA"/>
        </w:rPr>
        <w:t>护</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散</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障</w:t>
      </w:r>
      <w:r>
        <w:rPr>
          <w:rFonts w:hAnsi="Calibri" w:eastAsiaTheme="minorEastAsia" w:cstheme="minorBidi"/>
          <w:color w:val="000000"/>
          <w:spacing w:val="1078"/>
          <w:szCs w:val="22"/>
          <w:lang w:val="en-US" w:eastAsia="en-US" w:bidi="ar-SA"/>
        </w:rPr>
        <w:t xml:space="preserve"> </w:t>
      </w:r>
      <w:r>
        <w:rPr>
          <w:rFonts w:ascii="宋体" w:hAnsi="宋体" w:cs="宋体" w:eastAsiaTheme="minorEastAsia"/>
          <w:color w:val="000000"/>
          <w:szCs w:val="22"/>
          <w:lang w:val="en-US" w:eastAsia="en-US" w:bidi="ar-SA"/>
        </w:rPr>
        <w:t>询</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障</w:t>
      </w:r>
      <w:r>
        <w:rPr>
          <w:rFonts w:ascii="宋体" w:hAnsi="宋体" w:cs="宋体" w:eastAsiaTheme="minorEastAsia"/>
          <w:color w:val="000000"/>
          <w:szCs w:val="22"/>
          <w:lang w:val="en-US" w:eastAsia="en-US" w:bidi="ar-SA"/>
        </w:rPr>
        <w:cr/>
      </w:r>
      <w:r>
        <w:rPr>
          <w:rFonts w:ascii="宋体" w:hAnsi="宋体" w:cs="宋体" w:eastAsiaTheme="minorEastAsia"/>
          <w:color w:val="000000"/>
          <w:szCs w:val="22"/>
          <w:lang w:val="en-US" w:eastAsia="en-US" w:bidi="ar-SA"/>
        </w:rPr>
        <w:t>组</w:t>
      </w:r>
      <w:r>
        <w:rPr>
          <w:rFonts w:hAnsi="Calibri" w:eastAsiaTheme="minorEastAsia" w:cstheme="minorBidi"/>
          <w:color w:val="000000"/>
          <w:spacing w:val="1044"/>
          <w:szCs w:val="22"/>
          <w:lang w:val="en-US" w:eastAsia="en-US" w:bidi="ar-SA"/>
        </w:rPr>
        <w:t xml:space="preserve"> </w:t>
      </w:r>
      <w:r>
        <w:rPr>
          <w:rFonts w:ascii="宋体" w:hAnsi="宋体" w:cs="宋体" w:eastAsiaTheme="minorEastAsia"/>
          <w:color w:val="000000"/>
          <w:szCs w:val="22"/>
          <w:lang w:val="en-US" w:eastAsia="en-US" w:bidi="ar-SA"/>
        </w:rPr>
        <w:t>组</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组</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组</w:t>
      </w:r>
      <w:r>
        <w:rPr>
          <w:rFonts w:hAnsi="Calibri" w:eastAsiaTheme="minorEastAsia" w:cstheme="minorBidi"/>
          <w:color w:val="000000"/>
          <w:spacing w:val="1078"/>
          <w:szCs w:val="22"/>
          <w:lang w:val="en-US" w:eastAsia="en-US" w:bidi="ar-SA"/>
        </w:rPr>
        <w:t xml:space="preserve"> </w:t>
      </w:r>
      <w:r>
        <w:rPr>
          <w:rFonts w:ascii="宋体" w:hAnsi="宋体" w:cs="宋体" w:eastAsiaTheme="minorEastAsia"/>
          <w:color w:val="000000"/>
          <w:szCs w:val="22"/>
          <w:lang w:val="en-US" w:eastAsia="en-US" w:bidi="ar-SA"/>
        </w:rPr>
        <w:t>组</w:t>
      </w:r>
      <w:r>
        <w:rPr>
          <w:rFonts w:hAnsi="Calibri" w:eastAsiaTheme="minorEastAsia" w:cstheme="minorBidi"/>
          <w:color w:val="000000"/>
          <w:spacing w:val="1140"/>
          <w:szCs w:val="22"/>
          <w:lang w:val="en-US" w:eastAsia="en-US" w:bidi="ar-SA"/>
        </w:rPr>
        <w:t xml:space="preserve"> </w:t>
      </w:r>
      <w:r>
        <w:rPr>
          <w:rFonts w:ascii="宋体" w:hAnsi="宋体" w:cs="宋体" w:eastAsiaTheme="minorEastAsia"/>
          <w:color w:val="000000"/>
          <w:szCs w:val="22"/>
          <w:lang w:val="en-US" w:eastAsia="en-US" w:bidi="ar-SA"/>
        </w:rPr>
        <w:t>组</w:t>
      </w:r>
    </w:p>
    <w:p w14:paraId="05297417">
      <w:pPr>
        <w:spacing w:before="0" w:after="0" w:line="332" w:lineRule="exact"/>
        <w:ind w:left="0" w:right="0" w:firstLine="0"/>
        <w:jc w:val="left"/>
        <w:rPr>
          <w:rFonts w:hint="eastAsia" w:ascii="黑体" w:hAnsi="黑体" w:eastAsia="黑体" w:cs="黑体"/>
          <w:color w:val="000000"/>
          <w:sz w:val="32"/>
          <w:szCs w:val="22"/>
          <w:lang w:val="en-US" w:eastAsia="zh-CN" w:bidi="ar-SA"/>
        </w:rPr>
      </w:pPr>
      <w:bookmarkStart w:id="16" w:name="br1_17"/>
      <w:bookmarkEnd w:id="16"/>
      <w:bookmarkStart w:id="17" w:name="br1_18"/>
      <w:bookmarkEnd w:id="17"/>
      <w:r>
        <w:rPr>
          <w:rFonts w:hint="eastAsia" w:ascii="黑体" w:hAnsi="黑体" w:eastAsia="黑体" w:cs="黑体"/>
          <w:color w:val="000000"/>
          <w:spacing w:val="2"/>
          <w:sz w:val="32"/>
          <w:szCs w:val="22"/>
          <w:lang w:val="en-US" w:eastAsia="en-US" w:bidi="ar-SA"/>
        </w:rPr>
        <w:t>附件</w:t>
      </w:r>
      <w:r>
        <w:rPr>
          <w:rFonts w:hint="eastAsia" w:ascii="黑体" w:hAnsi="黑体" w:eastAsia="黑体" w:cs="黑体"/>
          <w:color w:val="000000"/>
          <w:spacing w:val="-3"/>
          <w:sz w:val="32"/>
          <w:szCs w:val="22"/>
          <w:lang w:val="en-US" w:eastAsia="zh-CN" w:bidi="ar-SA"/>
        </w:rPr>
        <w:t>2</w:t>
      </w:r>
    </w:p>
    <w:p w14:paraId="212FD24F">
      <w:pPr>
        <w:spacing w:before="234" w:after="403" w:line="439" w:lineRule="exact"/>
        <w:ind w:right="0"/>
        <w:jc w:val="center"/>
        <w:rPr>
          <w:rFonts w:hint="eastAsia" w:ascii="方正小标宋简体" w:hAnsi="方正小标宋简体" w:eastAsia="方正小标宋简体" w:cs="方正小标宋简体"/>
          <w:color w:val="000000"/>
          <w:sz w:val="44"/>
          <w:szCs w:val="44"/>
          <w:lang w:val="en-US" w:eastAsia="en-US" w:bidi="ar-SA"/>
        </w:rPr>
      </w:pPr>
      <w:r>
        <w:rPr>
          <w:rFonts w:hint="eastAsia" w:ascii="方正小标宋简体" w:hAnsi="方正小标宋简体" w:eastAsia="方正小标宋简体" w:cs="方正小标宋简体"/>
          <w:color w:val="000000"/>
          <w:sz w:val="44"/>
          <w:szCs w:val="44"/>
          <w:lang w:val="en-US" w:eastAsia="en-US" w:bidi="ar-SA"/>
        </w:rPr>
        <w:t>东阳市矿山事故应急指挥部组成人员通讯录</w:t>
      </w:r>
    </w:p>
    <w:tbl>
      <w:tblPr>
        <w:tblStyle w:val="4"/>
        <w:tblW w:w="8554" w:type="dxa"/>
        <w:tblInd w:w="0" w:type="dxa"/>
        <w:tblLayout w:type="autofit"/>
        <w:tblCellMar>
          <w:top w:w="0" w:type="dxa"/>
          <w:left w:w="0" w:type="dxa"/>
          <w:bottom w:w="0" w:type="dxa"/>
          <w:right w:w="0" w:type="dxa"/>
        </w:tblCellMar>
      </w:tblPr>
      <w:tblGrid>
        <w:gridCol w:w="145"/>
        <w:gridCol w:w="2616"/>
        <w:gridCol w:w="90"/>
        <w:gridCol w:w="1138"/>
        <w:gridCol w:w="90"/>
        <w:gridCol w:w="1168"/>
        <w:gridCol w:w="90"/>
        <w:gridCol w:w="3217"/>
      </w:tblGrid>
      <w:tr w14:paraId="0108F35B">
        <w:tblPrEx>
          <w:tblCellMar>
            <w:top w:w="0" w:type="dxa"/>
            <w:left w:w="0" w:type="dxa"/>
            <w:bottom w:w="0" w:type="dxa"/>
            <w:right w:w="0" w:type="dxa"/>
          </w:tblCellMar>
        </w:tblPrEx>
        <w:trPr>
          <w:trHeight w:val="622" w:hRule="atLeast"/>
        </w:trPr>
        <w:tc>
          <w:tcPr>
            <w:tcW w:w="145" w:type="dxa"/>
            <w:noWrap w:val="0"/>
            <w:vAlign w:val="top"/>
          </w:tcPr>
          <w:p w14:paraId="00BFCAF6">
            <w:pPr>
              <w:spacing w:before="0" w:after="0" w:line="0" w:lineRule="atLeast"/>
              <w:ind w:left="0" w:right="0" w:firstLine="0"/>
              <w:jc w:val="left"/>
              <w:rPr>
                <w:rFonts w:hAnsi="Calibri"/>
                <w:color w:val="000000"/>
                <w:sz w:val="36"/>
                <w:szCs w:val="22"/>
                <w:lang w:val="en-US" w:eastAsia="en-US" w:bidi="ar-SA"/>
              </w:rPr>
            </w:pPr>
            <w:r>
              <w:drawing>
                <wp:anchor distT="0" distB="0" distL="114300" distR="114300" simplePos="0" relativeHeight="251660288" behindDoc="1" locked="0" layoutInCell="1" allowOverlap="1">
                  <wp:simplePos x="0" y="0"/>
                  <wp:positionH relativeFrom="page">
                    <wp:posOffset>62865</wp:posOffset>
                  </wp:positionH>
                  <wp:positionV relativeFrom="page">
                    <wp:posOffset>6985</wp:posOffset>
                  </wp:positionV>
                  <wp:extent cx="5599430" cy="6904355"/>
                  <wp:effectExtent l="0" t="0" r="1270" b="10795"/>
                  <wp:wrapNone/>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7"/>
                          <a:stretch>
                            <a:fillRect/>
                          </a:stretch>
                        </pic:blipFill>
                        <pic:spPr>
                          <a:xfrm>
                            <a:off x="0" y="0"/>
                            <a:ext cx="5599430" cy="6904355"/>
                          </a:xfrm>
                          <a:prstGeom prst="rect">
                            <a:avLst/>
                          </a:prstGeom>
                          <a:noFill/>
                          <a:ln>
                            <a:noFill/>
                          </a:ln>
                        </pic:spPr>
                      </pic:pic>
                    </a:graphicData>
                  </a:graphic>
                </wp:anchor>
              </w:drawing>
            </w:r>
          </w:p>
        </w:tc>
        <w:tc>
          <w:tcPr>
            <w:tcW w:w="2616" w:type="dxa"/>
            <w:noWrap w:val="0"/>
            <w:vAlign w:val="top"/>
          </w:tcPr>
          <w:p w14:paraId="52160D0B">
            <w:pPr>
              <w:spacing w:before="264" w:after="0" w:line="240" w:lineRule="exact"/>
              <w:ind w:left="0"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序号</w:t>
            </w:r>
            <w:r>
              <w:rPr>
                <w:rFonts w:hAnsi="Calibri" w:eastAsiaTheme="minorEastAsia" w:cstheme="minorBidi"/>
                <w:color w:val="000000"/>
                <w:spacing w:val="473"/>
                <w:szCs w:val="22"/>
                <w:lang w:val="en-US" w:eastAsia="en-US" w:bidi="ar-SA"/>
              </w:rPr>
              <w:t xml:space="preserve"> </w:t>
            </w:r>
            <w:r>
              <w:rPr>
                <w:rFonts w:ascii="宋体" w:hAnsi="宋体" w:cs="宋体" w:eastAsiaTheme="minorEastAsia"/>
                <w:color w:val="000000"/>
                <w:spacing w:val="2"/>
                <w:szCs w:val="22"/>
                <w:lang w:val="en-US" w:eastAsia="en-US" w:bidi="ar-SA"/>
              </w:rPr>
              <w:t>单位名称</w:t>
            </w:r>
          </w:p>
        </w:tc>
        <w:tc>
          <w:tcPr>
            <w:tcW w:w="90" w:type="dxa"/>
            <w:noWrap w:val="0"/>
            <w:vAlign w:val="top"/>
          </w:tcPr>
          <w:p w14:paraId="45DA4378">
            <w:pPr>
              <w:spacing w:before="0" w:after="0" w:line="0" w:lineRule="atLeast"/>
              <w:ind w:left="0" w:right="0" w:firstLine="0"/>
              <w:jc w:val="left"/>
              <w:rPr>
                <w:rFonts w:hAnsi="Calibri"/>
                <w:color w:val="000000"/>
                <w:szCs w:val="22"/>
                <w:lang w:val="en-US" w:eastAsia="en-US" w:bidi="ar-SA"/>
              </w:rPr>
            </w:pPr>
          </w:p>
        </w:tc>
        <w:tc>
          <w:tcPr>
            <w:tcW w:w="1138" w:type="dxa"/>
            <w:noWrap w:val="0"/>
            <w:vAlign w:val="top"/>
          </w:tcPr>
          <w:p w14:paraId="29822ECE">
            <w:pPr>
              <w:spacing w:before="106" w:after="0" w:line="240" w:lineRule="exact"/>
              <w:ind w:left="0"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联系</w:t>
            </w:r>
          </w:p>
          <w:p w14:paraId="4B12074C">
            <w:pPr>
              <w:spacing w:before="72" w:after="0" w:line="240" w:lineRule="exact"/>
              <w:ind w:left="0"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部门</w:t>
            </w:r>
          </w:p>
        </w:tc>
        <w:tc>
          <w:tcPr>
            <w:tcW w:w="90" w:type="dxa"/>
            <w:noWrap w:val="0"/>
            <w:vAlign w:val="top"/>
          </w:tcPr>
          <w:p w14:paraId="0BCACEE3">
            <w:pPr>
              <w:spacing w:before="0" w:after="0" w:line="0" w:lineRule="atLeast"/>
              <w:ind w:left="0" w:right="0" w:firstLine="0"/>
              <w:jc w:val="left"/>
              <w:rPr>
                <w:rFonts w:hAnsi="Calibri"/>
                <w:color w:val="000000"/>
                <w:szCs w:val="22"/>
                <w:lang w:val="en-US" w:eastAsia="en-US" w:bidi="ar-SA"/>
              </w:rPr>
            </w:pPr>
          </w:p>
        </w:tc>
        <w:tc>
          <w:tcPr>
            <w:tcW w:w="1168" w:type="dxa"/>
            <w:noWrap w:val="0"/>
            <w:vAlign w:val="top"/>
          </w:tcPr>
          <w:p w14:paraId="3444F8B5">
            <w:pPr>
              <w:spacing w:before="264" w:after="0" w:line="240" w:lineRule="exact"/>
              <w:ind w:left="0" w:right="0" w:firstLine="0"/>
              <w:jc w:val="left"/>
              <w:rPr>
                <w:rFonts w:hAnsi="Calibri"/>
                <w:color w:val="000000"/>
                <w:szCs w:val="22"/>
                <w:lang w:val="en-US" w:eastAsia="en-US" w:bidi="ar-SA"/>
              </w:rPr>
            </w:pPr>
            <w:r>
              <w:rPr>
                <w:rFonts w:ascii="宋体" w:hAnsi="宋体" w:cs="宋体" w:eastAsiaTheme="minorEastAsia"/>
                <w:color w:val="000000"/>
                <w:szCs w:val="22"/>
                <w:lang w:val="en-US" w:eastAsia="en-US" w:bidi="ar-SA"/>
              </w:rPr>
              <w:t>电话</w:t>
            </w:r>
          </w:p>
        </w:tc>
        <w:tc>
          <w:tcPr>
            <w:tcW w:w="90" w:type="dxa"/>
            <w:noWrap w:val="0"/>
            <w:vAlign w:val="top"/>
          </w:tcPr>
          <w:p w14:paraId="610BB182">
            <w:pPr>
              <w:spacing w:before="0" w:after="0" w:line="0" w:lineRule="atLeast"/>
              <w:ind w:left="0" w:right="0" w:firstLine="0"/>
              <w:jc w:val="left"/>
              <w:rPr>
                <w:rFonts w:hAnsi="Calibri"/>
                <w:color w:val="000000"/>
                <w:szCs w:val="22"/>
                <w:lang w:val="en-US" w:eastAsia="en-US" w:bidi="ar-SA"/>
              </w:rPr>
            </w:pPr>
          </w:p>
        </w:tc>
        <w:tc>
          <w:tcPr>
            <w:tcW w:w="3217" w:type="dxa"/>
            <w:noWrap w:val="0"/>
            <w:vAlign w:val="top"/>
          </w:tcPr>
          <w:p w14:paraId="45996D70">
            <w:pPr>
              <w:keepNext w:val="0"/>
              <w:keepLines w:val="0"/>
              <w:pageBreakBefore w:val="0"/>
              <w:widowControl/>
              <w:kinsoku/>
              <w:wordWrap/>
              <w:overflowPunct/>
              <w:topLinePunct w:val="0"/>
              <w:autoSpaceDE/>
              <w:autoSpaceDN/>
              <w:bidi w:val="0"/>
              <w:adjustRightInd w:val="0"/>
              <w:snapToGrid w:val="0"/>
              <w:spacing w:before="0" w:after="0" w:line="240" w:lineRule="auto"/>
              <w:ind w:left="0" w:right="0" w:firstLine="0"/>
              <w:jc w:val="left"/>
              <w:textAlignment w:val="auto"/>
              <w:rPr>
                <w:rFonts w:hAnsi="Calibri"/>
                <w:color w:val="000000"/>
                <w:szCs w:val="22"/>
                <w:lang w:val="en-US" w:eastAsia="en-US" w:bidi="ar-SA"/>
              </w:rPr>
            </w:pPr>
          </w:p>
          <w:p w14:paraId="32538D3F">
            <w:pPr>
              <w:keepNext w:val="0"/>
              <w:keepLines w:val="0"/>
              <w:pageBreakBefore w:val="0"/>
              <w:widowControl/>
              <w:kinsoku/>
              <w:wordWrap/>
              <w:overflowPunct/>
              <w:topLinePunct w:val="0"/>
              <w:autoSpaceDE/>
              <w:autoSpaceDN/>
              <w:bidi w:val="0"/>
              <w:adjustRightInd w:val="0"/>
              <w:snapToGrid w:val="0"/>
              <w:spacing w:before="0" w:after="0" w:line="240" w:lineRule="auto"/>
              <w:ind w:left="0" w:right="0" w:firstLine="0"/>
              <w:jc w:val="center"/>
              <w:textAlignment w:val="auto"/>
              <w:rPr>
                <w:rFonts w:hint="eastAsia" w:hAnsi="Calibri" w:eastAsia="宋体"/>
                <w:color w:val="000000"/>
                <w:szCs w:val="22"/>
                <w:lang w:val="en-US" w:eastAsia="zh-CN" w:bidi="ar-SA"/>
              </w:rPr>
            </w:pPr>
            <w:r>
              <w:rPr>
                <w:rFonts w:hint="eastAsia" w:hAnsi="Calibri" w:eastAsia="宋体"/>
                <w:color w:val="000000"/>
                <w:szCs w:val="22"/>
                <w:lang w:val="en-US" w:eastAsia="zh-CN" w:bidi="ar-SA"/>
              </w:rPr>
              <w:t>主要负责人</w:t>
            </w:r>
          </w:p>
        </w:tc>
      </w:tr>
      <w:tr w14:paraId="32EDB1BA">
        <w:tblPrEx>
          <w:tblCellMar>
            <w:top w:w="0" w:type="dxa"/>
            <w:left w:w="0" w:type="dxa"/>
            <w:bottom w:w="0" w:type="dxa"/>
            <w:right w:w="0" w:type="dxa"/>
          </w:tblCellMar>
        </w:tblPrEx>
        <w:trPr>
          <w:trHeight w:val="536" w:hRule="atLeast"/>
        </w:trPr>
        <w:tc>
          <w:tcPr>
            <w:tcW w:w="145" w:type="dxa"/>
            <w:noWrap w:val="0"/>
            <w:vAlign w:val="top"/>
          </w:tcPr>
          <w:p w14:paraId="505DD038">
            <w:pPr>
              <w:spacing w:before="0" w:after="0" w:line="0" w:lineRule="atLeast"/>
              <w:ind w:left="0" w:right="0" w:firstLine="0"/>
              <w:jc w:val="left"/>
              <w:rPr>
                <w:rFonts w:hAnsi="Calibri"/>
                <w:color w:val="000000"/>
                <w:sz w:val="36"/>
                <w:szCs w:val="22"/>
                <w:lang w:val="en-US" w:eastAsia="en-US" w:bidi="ar-SA"/>
              </w:rPr>
            </w:pPr>
          </w:p>
        </w:tc>
        <w:tc>
          <w:tcPr>
            <w:tcW w:w="2616" w:type="dxa"/>
            <w:noWrap w:val="0"/>
            <w:vAlign w:val="top"/>
          </w:tcPr>
          <w:p w14:paraId="28AA7E77">
            <w:pPr>
              <w:spacing w:before="264" w:after="0" w:line="240" w:lineRule="exact"/>
              <w:ind w:left="0" w:right="0" w:firstLine="0"/>
              <w:jc w:val="left"/>
              <w:rPr>
                <w:rFonts w:ascii="宋体" w:hAnsi="宋体" w:cs="宋体" w:eastAsiaTheme="minorEastAsia"/>
                <w:color w:val="000000"/>
                <w:szCs w:val="22"/>
                <w:lang w:val="en-US" w:eastAsia="en-US" w:bidi="ar-SA"/>
              </w:rPr>
            </w:pPr>
          </w:p>
        </w:tc>
        <w:tc>
          <w:tcPr>
            <w:tcW w:w="90" w:type="dxa"/>
            <w:noWrap w:val="0"/>
            <w:vAlign w:val="top"/>
          </w:tcPr>
          <w:p w14:paraId="376104AF">
            <w:pPr>
              <w:spacing w:before="0" w:after="0" w:line="0" w:lineRule="atLeast"/>
              <w:ind w:left="0" w:right="0" w:firstLine="0"/>
              <w:jc w:val="left"/>
              <w:rPr>
                <w:rFonts w:hAnsi="Calibri"/>
                <w:color w:val="000000"/>
                <w:szCs w:val="22"/>
                <w:lang w:val="en-US" w:eastAsia="en-US" w:bidi="ar-SA"/>
              </w:rPr>
            </w:pPr>
          </w:p>
        </w:tc>
        <w:tc>
          <w:tcPr>
            <w:tcW w:w="1138" w:type="dxa"/>
            <w:noWrap w:val="0"/>
            <w:vAlign w:val="top"/>
          </w:tcPr>
          <w:p w14:paraId="54A9B968">
            <w:pPr>
              <w:spacing w:before="72" w:after="0" w:line="240" w:lineRule="exact"/>
              <w:ind w:left="0" w:right="0" w:firstLine="0"/>
              <w:jc w:val="left"/>
              <w:rPr>
                <w:rFonts w:ascii="宋体" w:hAnsi="宋体" w:cs="宋体" w:eastAsiaTheme="minorEastAsia"/>
                <w:color w:val="000000"/>
                <w:szCs w:val="22"/>
                <w:lang w:val="en-US" w:eastAsia="en-US" w:bidi="ar-SA"/>
              </w:rPr>
            </w:pPr>
          </w:p>
        </w:tc>
        <w:tc>
          <w:tcPr>
            <w:tcW w:w="90" w:type="dxa"/>
            <w:noWrap w:val="0"/>
            <w:vAlign w:val="top"/>
          </w:tcPr>
          <w:p w14:paraId="44329418">
            <w:pPr>
              <w:spacing w:before="0" w:after="0" w:line="0" w:lineRule="atLeast"/>
              <w:ind w:left="0" w:right="0" w:firstLine="0"/>
              <w:jc w:val="left"/>
              <w:rPr>
                <w:rFonts w:hAnsi="Calibri"/>
                <w:color w:val="000000"/>
                <w:szCs w:val="22"/>
                <w:lang w:val="en-US" w:eastAsia="en-US" w:bidi="ar-SA"/>
              </w:rPr>
            </w:pPr>
          </w:p>
        </w:tc>
        <w:tc>
          <w:tcPr>
            <w:tcW w:w="1168" w:type="dxa"/>
            <w:noWrap w:val="0"/>
            <w:vAlign w:val="top"/>
          </w:tcPr>
          <w:p w14:paraId="296711B1">
            <w:pPr>
              <w:spacing w:before="264" w:after="0" w:line="240" w:lineRule="exact"/>
              <w:ind w:left="0" w:right="0" w:firstLine="0"/>
              <w:jc w:val="left"/>
              <w:rPr>
                <w:rFonts w:ascii="宋体" w:hAnsi="宋体" w:cs="宋体" w:eastAsiaTheme="minorEastAsia"/>
                <w:color w:val="000000"/>
                <w:szCs w:val="22"/>
                <w:lang w:val="en-US" w:eastAsia="en-US" w:bidi="ar-SA"/>
              </w:rPr>
            </w:pPr>
          </w:p>
        </w:tc>
        <w:tc>
          <w:tcPr>
            <w:tcW w:w="90" w:type="dxa"/>
            <w:noWrap w:val="0"/>
            <w:vAlign w:val="top"/>
          </w:tcPr>
          <w:p w14:paraId="648C8894">
            <w:pPr>
              <w:spacing w:before="0" w:after="0" w:line="0" w:lineRule="atLeast"/>
              <w:ind w:left="0" w:right="0" w:firstLine="0"/>
              <w:jc w:val="left"/>
              <w:rPr>
                <w:rFonts w:hAnsi="Calibri"/>
                <w:color w:val="000000"/>
                <w:szCs w:val="22"/>
                <w:lang w:val="en-US" w:eastAsia="en-US" w:bidi="ar-SA"/>
              </w:rPr>
            </w:pPr>
          </w:p>
        </w:tc>
        <w:tc>
          <w:tcPr>
            <w:tcW w:w="3217" w:type="dxa"/>
            <w:noWrap w:val="0"/>
            <w:vAlign w:val="top"/>
          </w:tcPr>
          <w:p w14:paraId="57C90B8E">
            <w:pPr>
              <w:keepNext w:val="0"/>
              <w:keepLines w:val="0"/>
              <w:pageBreakBefore w:val="0"/>
              <w:widowControl/>
              <w:kinsoku/>
              <w:wordWrap/>
              <w:overflowPunct/>
              <w:topLinePunct w:val="0"/>
              <w:autoSpaceDE/>
              <w:autoSpaceDN/>
              <w:bidi w:val="0"/>
              <w:adjustRightInd w:val="0"/>
              <w:snapToGrid w:val="0"/>
              <w:spacing w:after="0" w:line="240" w:lineRule="auto"/>
              <w:ind w:left="0" w:right="0" w:firstLine="0"/>
              <w:jc w:val="left"/>
              <w:textAlignment w:val="auto"/>
              <w:rPr>
                <w:rFonts w:ascii="宋体" w:hAnsi="宋体" w:cs="宋体" w:eastAsiaTheme="minorEastAsia"/>
                <w:color w:val="000000"/>
                <w:szCs w:val="22"/>
                <w:lang w:val="en-US" w:eastAsia="en-US" w:bidi="ar-SA"/>
              </w:rPr>
            </w:pPr>
            <w:r>
              <w:rPr>
                <w:rFonts w:ascii="宋体" w:hAnsi="宋体" w:cs="宋体" w:eastAsiaTheme="minorEastAsia"/>
                <w:color w:val="000000"/>
                <w:szCs w:val="22"/>
                <w:lang w:val="en-US" w:eastAsia="en-US" w:bidi="ar-SA"/>
              </w:rPr>
              <w:t>姓名</w:t>
            </w:r>
            <w:r>
              <w:rPr>
                <w:rFonts w:hAnsi="Calibri" w:eastAsiaTheme="minorEastAsia" w:cstheme="minorBidi"/>
                <w:color w:val="000000"/>
                <w:spacing w:val="679"/>
                <w:szCs w:val="22"/>
                <w:lang w:val="en-US" w:eastAsia="en-US" w:bidi="ar-SA"/>
              </w:rPr>
              <w:t xml:space="preserve"> </w:t>
            </w:r>
            <w:r>
              <w:rPr>
                <w:rFonts w:ascii="宋体" w:hAnsi="宋体" w:cs="宋体" w:eastAsiaTheme="minorEastAsia"/>
                <w:color w:val="000000"/>
                <w:szCs w:val="22"/>
                <w:lang w:val="en-US" w:eastAsia="en-US" w:bidi="ar-SA"/>
              </w:rPr>
              <w:t>职务</w:t>
            </w:r>
            <w:r>
              <w:rPr>
                <w:rFonts w:hint="eastAsia" w:ascii="宋体" w:hAnsi="宋体" w:cs="宋体" w:eastAsiaTheme="minorEastAsia"/>
                <w:color w:val="000000"/>
                <w:szCs w:val="22"/>
                <w:lang w:val="en-US" w:eastAsia="zh-CN" w:bidi="ar-SA"/>
              </w:rPr>
              <w:t xml:space="preserve">    </w:t>
            </w:r>
          </w:p>
        </w:tc>
      </w:tr>
    </w:tbl>
    <w:p w14:paraId="34D3EF90">
      <w:pPr>
        <w:keepNext w:val="0"/>
        <w:keepLines w:val="0"/>
        <w:pageBreakBefore w:val="0"/>
        <w:widowControl/>
        <w:kinsoku/>
        <w:wordWrap/>
        <w:overflowPunct/>
        <w:topLinePunct w:val="0"/>
        <w:autoSpaceDE/>
        <w:autoSpaceDN/>
        <w:bidi w:val="0"/>
        <w:adjustRightInd w:val="0"/>
        <w:snapToGrid w:val="0"/>
        <w:spacing w:line="420" w:lineRule="exact"/>
        <w:ind w:left="964" w:leftChars="139" w:right="0" w:hanging="630" w:hangingChars="300"/>
        <w:jc w:val="left"/>
        <w:textAlignment w:val="auto"/>
        <w:rPr>
          <w:rFonts w:hint="eastAsia" w:asciiTheme="minorEastAsia" w:hAnsiTheme="minorEastAsia" w:eastAsiaTheme="minorEastAsia" w:cstheme="minorEastAsia"/>
          <w:color w:val="000000"/>
          <w:sz w:val="21"/>
          <w:szCs w:val="22"/>
          <w:lang w:val="en-US" w:eastAsia="en-US" w:bidi="ar-SA"/>
        </w:rPr>
      </w:pPr>
      <w:r>
        <w:rPr>
          <w:rFonts w:ascii="PPGEOA+TimesNewRomanPSMT" w:hAnsi="Calibri" w:eastAsiaTheme="minorEastAsia" w:cstheme="minorBidi"/>
          <w:color w:val="000000"/>
          <w:sz w:val="21"/>
          <w:szCs w:val="22"/>
          <w:lang w:val="en-US" w:eastAsia="en-US" w:bidi="ar-SA"/>
        </w:rPr>
        <w:t>1</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市委办</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86655288</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胡利群</w:t>
      </w:r>
      <w:r>
        <w:rPr>
          <w:rFonts w:hint="eastAsia" w:asciiTheme="minorEastAsia" w:hAnsiTheme="minorEastAsia" w:eastAsiaTheme="minorEastAsia" w:cstheme="minorEastAsia"/>
          <w:color w:val="000000"/>
          <w:spacing w:val="64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主任</w:t>
      </w:r>
      <w:r>
        <w:rPr>
          <w:rFonts w:hint="eastAsia" w:asciiTheme="minorEastAsia" w:hAnsiTheme="minorEastAsia" w:eastAsiaTheme="minorEastAsia" w:cstheme="minorEastAsia"/>
          <w:color w:val="000000"/>
          <w:spacing w:val="1"/>
          <w:sz w:val="21"/>
          <w:szCs w:val="22"/>
          <w:lang w:val="en-US" w:eastAsia="zh-CN" w:bidi="ar-SA"/>
        </w:rPr>
        <w:t xml:space="preserve">     </w:t>
      </w:r>
    </w:p>
    <w:p w14:paraId="7EA49FBC">
      <w:pPr>
        <w:keepNext w:val="0"/>
        <w:keepLines w:val="0"/>
        <w:pageBreakBefore w:val="0"/>
        <w:widowControl/>
        <w:kinsoku/>
        <w:wordWrap/>
        <w:overflowPunct/>
        <w:topLinePunct w:val="0"/>
        <w:autoSpaceDE/>
        <w:autoSpaceDN/>
        <w:bidi w:val="0"/>
        <w:adjustRightInd w:val="0"/>
        <w:snapToGrid w:val="0"/>
        <w:spacing w:line="420" w:lineRule="exact"/>
        <w:ind w:left="1174" w:leftChars="139" w:right="0" w:hanging="840" w:hangingChars="40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2</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市府办</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值班室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86655788</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李敢峰</w:t>
      </w:r>
      <w:r>
        <w:rPr>
          <w:rFonts w:hint="eastAsia" w:asciiTheme="minorEastAsia" w:hAnsiTheme="minorEastAsia" w:eastAsiaTheme="minorEastAsia" w:cstheme="minorEastAsia"/>
          <w:color w:val="000000"/>
          <w:spacing w:val="64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主任</w:t>
      </w:r>
      <w:r>
        <w:rPr>
          <w:rFonts w:hint="eastAsia" w:asciiTheme="minorEastAsia" w:hAnsiTheme="minorEastAsia" w:eastAsiaTheme="minorEastAsia" w:cstheme="minorEastAsia"/>
          <w:color w:val="000000"/>
          <w:spacing w:val="1"/>
          <w:sz w:val="21"/>
          <w:szCs w:val="22"/>
          <w:lang w:val="en-US" w:eastAsia="zh-CN" w:bidi="ar-SA"/>
        </w:rPr>
        <w:t xml:space="preserve">     </w:t>
      </w:r>
    </w:p>
    <w:p w14:paraId="0DACCD5B">
      <w:pPr>
        <w:keepNext w:val="0"/>
        <w:keepLines w:val="0"/>
        <w:pageBreakBefore w:val="0"/>
        <w:widowControl/>
        <w:kinsoku/>
        <w:wordWrap/>
        <w:overflowPunct/>
        <w:topLinePunct w:val="0"/>
        <w:autoSpaceDE/>
        <w:autoSpaceDN/>
        <w:bidi w:val="0"/>
        <w:adjustRightInd w:val="0"/>
        <w:snapToGrid w:val="0"/>
        <w:spacing w:line="420" w:lineRule="exact"/>
        <w:ind w:left="964" w:leftChars="139" w:right="0" w:hanging="630" w:hangingChars="30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3</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应急</w:t>
      </w:r>
      <w:r>
        <w:rPr>
          <w:rFonts w:hint="eastAsia" w:asciiTheme="minorEastAsia" w:hAnsiTheme="minorEastAsia" w:eastAsiaTheme="minorEastAsia" w:cstheme="minorEastAsia"/>
          <w:color w:val="000000"/>
          <w:sz w:val="21"/>
          <w:szCs w:val="22"/>
          <w:lang w:val="en-US" w:eastAsia="zh-CN" w:bidi="ar-SA"/>
        </w:rPr>
        <w:t>管理</w:t>
      </w:r>
      <w:r>
        <w:rPr>
          <w:rFonts w:hint="eastAsia" w:asciiTheme="minorEastAsia" w:hAnsiTheme="minorEastAsia" w:eastAsiaTheme="minorEastAsia" w:cstheme="minorEastAsia"/>
          <w:color w:val="000000"/>
          <w:sz w:val="21"/>
          <w:szCs w:val="22"/>
          <w:lang w:val="en-US" w:eastAsia="en-US" w:bidi="ar-SA"/>
        </w:rPr>
        <w:t>局</w:t>
      </w:r>
      <w:r>
        <w:rPr>
          <w:rFonts w:hint="eastAsia" w:asciiTheme="minorEastAsia" w:hAnsiTheme="minorEastAsia" w:eastAsiaTheme="minorEastAsia" w:cstheme="minorEastAsia"/>
          <w:color w:val="000000"/>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86655863</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史南京</w:t>
      </w:r>
      <w:r>
        <w:rPr>
          <w:rFonts w:hint="eastAsia" w:asciiTheme="minorEastAsia" w:hAnsiTheme="minorEastAsia" w:eastAsiaTheme="minorEastAsia" w:cstheme="minorEastAsia"/>
          <w:color w:val="000000"/>
          <w:spacing w:val="64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65CB19BF">
      <w:pPr>
        <w:keepNext w:val="0"/>
        <w:keepLines w:val="0"/>
        <w:pageBreakBefore w:val="0"/>
        <w:widowControl/>
        <w:kinsoku/>
        <w:wordWrap/>
        <w:overflowPunct/>
        <w:topLinePunct w:val="0"/>
        <w:autoSpaceDE/>
        <w:autoSpaceDN/>
        <w:bidi w:val="0"/>
        <w:adjustRightInd w:val="0"/>
        <w:snapToGrid w:val="0"/>
        <w:spacing w:before="0" w:beforeLines="50" w:line="420" w:lineRule="exact"/>
        <w:ind w:left="964" w:leftChars="139" w:right="0" w:hanging="630" w:hangingChars="30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4</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宣传部</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86655519</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胡易安</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副部长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5D4F8796">
      <w:pPr>
        <w:keepNext w:val="0"/>
        <w:keepLines w:val="0"/>
        <w:pageBreakBefore w:val="0"/>
        <w:widowControl/>
        <w:kinsoku/>
        <w:wordWrap/>
        <w:overflowPunct/>
        <w:topLinePunct w:val="0"/>
        <w:autoSpaceDE/>
        <w:autoSpaceDN/>
        <w:bidi w:val="0"/>
        <w:adjustRightInd w:val="0"/>
        <w:snapToGrid w:val="0"/>
        <w:spacing w:before="0" w:beforeLines="50" w:line="420" w:lineRule="exact"/>
        <w:ind w:left="334"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5</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公安局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86924532</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厉国强</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4DC607E4">
      <w:pPr>
        <w:keepNext w:val="0"/>
        <w:keepLines w:val="0"/>
        <w:pageBreakBefore w:val="0"/>
        <w:widowControl/>
        <w:kinsoku/>
        <w:wordWrap/>
        <w:overflowPunct/>
        <w:topLinePunct w:val="0"/>
        <w:autoSpaceDE/>
        <w:autoSpaceDN/>
        <w:bidi w:val="0"/>
        <w:adjustRightInd w:val="0"/>
        <w:snapToGrid w:val="0"/>
        <w:spacing w:line="420" w:lineRule="exact"/>
        <w:ind w:left="336"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6</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交警大队</w:t>
      </w:r>
      <w:r>
        <w:rPr>
          <w:rFonts w:hint="eastAsia" w:asciiTheme="minorEastAsia" w:hAnsiTheme="minorEastAsia" w:eastAsiaTheme="minorEastAsia" w:cstheme="minorEastAsia"/>
          <w:color w:val="000000"/>
          <w:spacing w:val="99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86096207</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胡向荣</w:t>
      </w:r>
      <w:r>
        <w:rPr>
          <w:rFonts w:hint="eastAsia" w:asciiTheme="minorEastAsia" w:hAnsiTheme="minorEastAsia" w:eastAsiaTheme="minorEastAsia" w:cstheme="minorEastAsia"/>
          <w:color w:val="000000"/>
          <w:spacing w:val="430"/>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副大队长</w:t>
      </w:r>
      <w:r>
        <w:rPr>
          <w:rFonts w:hint="eastAsia" w:asciiTheme="minorEastAsia" w:hAnsiTheme="minorEastAsia" w:eastAsiaTheme="minorEastAsia" w:cstheme="minorEastAsia"/>
          <w:color w:val="000000"/>
          <w:sz w:val="21"/>
          <w:szCs w:val="22"/>
          <w:lang w:val="en-US" w:eastAsia="zh-CN" w:bidi="ar-SA"/>
        </w:rPr>
        <w:t xml:space="preserve">   </w:t>
      </w:r>
    </w:p>
    <w:p w14:paraId="4736269A">
      <w:pPr>
        <w:keepNext w:val="0"/>
        <w:keepLines w:val="0"/>
        <w:pageBreakBefore w:val="0"/>
        <w:widowControl/>
        <w:kinsoku/>
        <w:wordWrap/>
        <w:overflowPunct/>
        <w:topLinePunct w:val="0"/>
        <w:autoSpaceDE/>
        <w:autoSpaceDN/>
        <w:bidi w:val="0"/>
        <w:adjustRightInd w:val="0"/>
        <w:snapToGrid w:val="0"/>
        <w:spacing w:before="0" w:beforeLines="50" w:line="420" w:lineRule="exact"/>
        <w:ind w:left="334"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7</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消防救援大队</w:t>
      </w:r>
      <w:r>
        <w:rPr>
          <w:rFonts w:hint="eastAsia" w:asciiTheme="minorEastAsia" w:hAnsiTheme="minorEastAsia" w:eastAsiaTheme="minorEastAsia" w:cstheme="minorEastAsia"/>
          <w:color w:val="000000"/>
          <w:spacing w:val="568"/>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总</w:t>
      </w:r>
      <w:r>
        <w:rPr>
          <w:rFonts w:hint="eastAsia" w:asciiTheme="minorEastAsia" w:hAnsiTheme="minorEastAsia" w:eastAsiaTheme="minorEastAsia" w:cstheme="minorEastAsia"/>
          <w:color w:val="000000"/>
          <w:spacing w:val="15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机</w:t>
      </w:r>
      <w:r>
        <w:rPr>
          <w:rFonts w:hint="eastAsia" w:asciiTheme="minorEastAsia" w:hAnsiTheme="minorEastAsia" w:eastAsiaTheme="minorEastAsia" w:cstheme="minorEastAsia"/>
          <w:color w:val="000000"/>
          <w:spacing w:val="390"/>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86096959</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杨光亮</w:t>
      </w:r>
      <w:r>
        <w:rPr>
          <w:rFonts w:hint="eastAsia" w:asciiTheme="minorEastAsia" w:hAnsiTheme="minorEastAsia" w:eastAsiaTheme="minorEastAsia" w:cstheme="minorEastAsia"/>
          <w:color w:val="000000"/>
          <w:spacing w:val="430"/>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副大队长</w:t>
      </w:r>
      <w:r>
        <w:rPr>
          <w:rFonts w:hint="eastAsia" w:asciiTheme="minorEastAsia" w:hAnsiTheme="minorEastAsia" w:eastAsiaTheme="minorEastAsia" w:cstheme="minorEastAsia"/>
          <w:color w:val="000000"/>
          <w:sz w:val="21"/>
          <w:szCs w:val="22"/>
          <w:lang w:val="en-US" w:eastAsia="zh-CN" w:bidi="ar-SA"/>
        </w:rPr>
        <w:t xml:space="preserve">  </w:t>
      </w:r>
    </w:p>
    <w:p w14:paraId="642E9D81">
      <w:pPr>
        <w:keepNext w:val="0"/>
        <w:keepLines w:val="0"/>
        <w:pageBreakBefore w:val="0"/>
        <w:widowControl/>
        <w:kinsoku/>
        <w:wordWrap/>
        <w:overflowPunct/>
        <w:topLinePunct w:val="0"/>
        <w:autoSpaceDE/>
        <w:autoSpaceDN/>
        <w:bidi w:val="0"/>
        <w:adjustRightInd w:val="0"/>
        <w:snapToGrid w:val="0"/>
        <w:spacing w:line="420" w:lineRule="exact"/>
        <w:ind w:left="336"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8</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经济和信息化局</w:t>
      </w:r>
      <w:r>
        <w:rPr>
          <w:rFonts w:hint="eastAsia" w:asciiTheme="minorEastAsia" w:hAnsiTheme="minorEastAsia" w:eastAsiaTheme="minorEastAsia" w:cstheme="minorEastAsia"/>
          <w:color w:val="000000"/>
          <w:spacing w:val="36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86655857</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张学群</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13FC7AD1">
      <w:pPr>
        <w:keepNext w:val="0"/>
        <w:keepLines w:val="0"/>
        <w:pageBreakBefore w:val="0"/>
        <w:widowControl/>
        <w:kinsoku/>
        <w:wordWrap/>
        <w:overflowPunct/>
        <w:topLinePunct w:val="0"/>
        <w:autoSpaceDE/>
        <w:autoSpaceDN/>
        <w:bidi w:val="0"/>
        <w:adjustRightInd w:val="0"/>
        <w:snapToGrid w:val="0"/>
        <w:spacing w:line="420" w:lineRule="exact"/>
        <w:ind w:left="336"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9</w:t>
      </w:r>
      <w:r>
        <w:rPr>
          <w:rFonts w:hint="eastAsia" w:asciiTheme="minorEastAsia" w:hAnsiTheme="minorEastAsia" w:eastAsiaTheme="minorEastAsia" w:cstheme="minorEastAsia"/>
          <w:color w:val="000000"/>
          <w:spacing w:val="37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交通运输局</w:t>
      </w:r>
      <w:r>
        <w:rPr>
          <w:rFonts w:hint="eastAsia" w:asciiTheme="minorEastAsia" w:hAnsiTheme="minorEastAsia" w:eastAsiaTheme="minorEastAsia" w:cstheme="minorEastAsia"/>
          <w:color w:val="000000"/>
          <w:spacing w:val="779"/>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86691792</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王世坤</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00BF33E2">
      <w:pPr>
        <w:keepNext w:val="0"/>
        <w:keepLines w:val="0"/>
        <w:pageBreakBefore w:val="0"/>
        <w:widowControl/>
        <w:kinsoku/>
        <w:wordWrap/>
        <w:overflowPunct/>
        <w:topLinePunct w:val="0"/>
        <w:autoSpaceDE/>
        <w:autoSpaceDN/>
        <w:bidi w:val="0"/>
        <w:adjustRightInd w:val="0"/>
        <w:snapToGrid w:val="0"/>
        <w:spacing w:before="1" w:beforeLines="100"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10</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纪委（监委）</w:t>
      </w:r>
      <w:r>
        <w:rPr>
          <w:rFonts w:hint="eastAsia" w:asciiTheme="minorEastAsia" w:hAnsiTheme="minorEastAsia" w:eastAsiaTheme="minorEastAsia" w:cstheme="minorEastAsia"/>
          <w:color w:val="000000"/>
          <w:spacing w:val="56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86655354</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吕兴东</w:t>
      </w:r>
      <w:r>
        <w:rPr>
          <w:rFonts w:hint="eastAsia" w:asciiTheme="minorEastAsia" w:hAnsiTheme="minorEastAsia" w:eastAsiaTheme="minorEastAsia" w:cstheme="minorEastAsia"/>
          <w:color w:val="000000"/>
          <w:spacing w:val="64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常委</w:t>
      </w:r>
      <w:r>
        <w:rPr>
          <w:rFonts w:hint="eastAsia" w:asciiTheme="minorEastAsia" w:hAnsiTheme="minorEastAsia" w:eastAsiaTheme="minorEastAsia" w:cstheme="minorEastAsia"/>
          <w:color w:val="000000"/>
          <w:spacing w:val="1"/>
          <w:sz w:val="21"/>
          <w:szCs w:val="22"/>
          <w:lang w:val="en-US" w:eastAsia="zh-CN" w:bidi="ar-SA"/>
        </w:rPr>
        <w:t xml:space="preserve">     </w:t>
      </w:r>
    </w:p>
    <w:p w14:paraId="7BCBFDAD">
      <w:pPr>
        <w:keepNext w:val="0"/>
        <w:keepLines w:val="0"/>
        <w:pageBreakBefore w:val="0"/>
        <w:widowControl/>
        <w:kinsoku/>
        <w:wordWrap/>
        <w:overflowPunct/>
        <w:topLinePunct w:val="0"/>
        <w:autoSpaceDE/>
        <w:autoSpaceDN/>
        <w:bidi w:val="0"/>
        <w:adjustRightInd w:val="0"/>
        <w:snapToGrid w:val="0"/>
        <w:spacing w:line="420" w:lineRule="exact"/>
        <w:ind w:left="288"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4"/>
          <w:sz w:val="21"/>
          <w:szCs w:val="22"/>
          <w:lang w:val="en-US" w:eastAsia="en-US" w:bidi="ar-SA"/>
        </w:rPr>
        <w:t>11</w:t>
      </w:r>
      <w:r>
        <w:rPr>
          <w:rFonts w:hint="eastAsia" w:asciiTheme="minorEastAsia" w:hAnsiTheme="minorEastAsia" w:eastAsiaTheme="minorEastAsia" w:cstheme="minorEastAsia"/>
          <w:color w:val="000000"/>
          <w:spacing w:val="327"/>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总工会</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86655541</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郭跃良</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副主席</w:t>
      </w:r>
      <w:r>
        <w:rPr>
          <w:rFonts w:hint="eastAsia" w:asciiTheme="minorEastAsia" w:hAnsiTheme="minorEastAsia" w:eastAsiaTheme="minorEastAsia" w:cstheme="minorEastAsia"/>
          <w:color w:val="000000"/>
          <w:spacing w:val="-1"/>
          <w:sz w:val="21"/>
          <w:szCs w:val="22"/>
          <w:lang w:val="en-US" w:eastAsia="zh-CN" w:bidi="ar-SA"/>
        </w:rPr>
        <w:t xml:space="preserve">    </w:t>
      </w:r>
    </w:p>
    <w:p w14:paraId="2386AAB5">
      <w:pPr>
        <w:keepNext w:val="0"/>
        <w:keepLines w:val="0"/>
        <w:pageBreakBefore w:val="0"/>
        <w:widowControl/>
        <w:kinsoku/>
        <w:wordWrap/>
        <w:overflowPunct/>
        <w:topLinePunct w:val="0"/>
        <w:autoSpaceDE/>
        <w:autoSpaceDN/>
        <w:bidi w:val="0"/>
        <w:adjustRightInd w:val="0"/>
        <w:snapToGrid w:val="0"/>
        <w:spacing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12</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人劳社保局</w:t>
      </w:r>
      <w:r>
        <w:rPr>
          <w:rFonts w:hint="eastAsia" w:asciiTheme="minorEastAsia" w:hAnsiTheme="minorEastAsia" w:eastAsiaTheme="minorEastAsia" w:cstheme="minorEastAsia"/>
          <w:color w:val="000000"/>
          <w:spacing w:val="779"/>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86675710</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施奕明</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388C4F82">
      <w:pPr>
        <w:keepNext w:val="0"/>
        <w:keepLines w:val="0"/>
        <w:pageBreakBefore w:val="0"/>
        <w:widowControl/>
        <w:kinsoku/>
        <w:wordWrap/>
        <w:overflowPunct/>
        <w:topLinePunct w:val="0"/>
        <w:autoSpaceDE/>
        <w:autoSpaceDN/>
        <w:bidi w:val="0"/>
        <w:adjustRightInd w:val="0"/>
        <w:snapToGrid w:val="0"/>
        <w:spacing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13</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建设局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86816011</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王瑞龙</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621C8F53">
      <w:pPr>
        <w:keepNext w:val="0"/>
        <w:keepLines w:val="0"/>
        <w:pageBreakBefore w:val="0"/>
        <w:widowControl/>
        <w:kinsoku/>
        <w:wordWrap/>
        <w:overflowPunct/>
        <w:topLinePunct w:val="0"/>
        <w:autoSpaceDE/>
        <w:autoSpaceDN/>
        <w:bidi w:val="0"/>
        <w:adjustRightInd w:val="0"/>
        <w:snapToGrid w:val="0"/>
        <w:spacing w:before="0" w:beforeLines="50"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14</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卫生健康局</w:t>
      </w:r>
      <w:r>
        <w:rPr>
          <w:rFonts w:hint="eastAsia" w:asciiTheme="minorEastAsia" w:hAnsiTheme="minorEastAsia" w:eastAsiaTheme="minorEastAsia" w:cstheme="minorEastAsia"/>
          <w:color w:val="000000"/>
          <w:spacing w:val="779"/>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86655783</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胡德良</w:t>
      </w:r>
      <w:r>
        <w:rPr>
          <w:rFonts w:hint="eastAsia" w:asciiTheme="minorEastAsia" w:hAnsiTheme="minorEastAsia" w:eastAsiaTheme="minorEastAsia" w:cstheme="minorEastAsia"/>
          <w:color w:val="000000"/>
          <w:spacing w:val="430"/>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党委委员</w:t>
      </w:r>
      <w:r>
        <w:rPr>
          <w:rFonts w:hint="eastAsia" w:asciiTheme="minorEastAsia" w:hAnsiTheme="minorEastAsia" w:eastAsiaTheme="minorEastAsia" w:cstheme="minorEastAsia"/>
          <w:color w:val="000000"/>
          <w:sz w:val="21"/>
          <w:szCs w:val="22"/>
          <w:lang w:val="en-US" w:eastAsia="zh-CN" w:bidi="ar-SA"/>
        </w:rPr>
        <w:t xml:space="preserve">    </w:t>
      </w:r>
    </w:p>
    <w:p w14:paraId="719AB5E9">
      <w:pPr>
        <w:keepNext w:val="0"/>
        <w:keepLines w:val="0"/>
        <w:pageBreakBefore w:val="0"/>
        <w:widowControl/>
        <w:kinsoku/>
        <w:wordWrap/>
        <w:overflowPunct/>
        <w:topLinePunct w:val="0"/>
        <w:autoSpaceDE/>
        <w:autoSpaceDN/>
        <w:bidi w:val="0"/>
        <w:adjustRightInd w:val="0"/>
        <w:snapToGrid w:val="0"/>
        <w:spacing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15</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市场监管局</w:t>
      </w:r>
      <w:r>
        <w:rPr>
          <w:rFonts w:hint="eastAsia" w:asciiTheme="minorEastAsia" w:hAnsiTheme="minorEastAsia" w:eastAsiaTheme="minorEastAsia" w:cstheme="minorEastAsia"/>
          <w:color w:val="000000"/>
          <w:spacing w:val="779"/>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86633395</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高国新</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tbl>
      <w:tblPr>
        <w:tblStyle w:val="4"/>
        <w:tblW w:w="0" w:type="auto"/>
        <w:tblInd w:w="0" w:type="dxa"/>
        <w:tblLayout w:type="autofit"/>
        <w:tblCellMar>
          <w:top w:w="0" w:type="dxa"/>
          <w:left w:w="0" w:type="dxa"/>
          <w:bottom w:w="0" w:type="dxa"/>
          <w:right w:w="0" w:type="dxa"/>
        </w:tblCellMar>
      </w:tblPr>
      <w:tblGrid>
        <w:gridCol w:w="279"/>
        <w:gridCol w:w="562"/>
        <w:gridCol w:w="20"/>
        <w:gridCol w:w="1842"/>
        <w:gridCol w:w="20"/>
        <w:gridCol w:w="6003"/>
      </w:tblGrid>
      <w:tr w14:paraId="19CE0995">
        <w:tblPrEx>
          <w:tblCellMar>
            <w:top w:w="0" w:type="dxa"/>
            <w:left w:w="0" w:type="dxa"/>
            <w:bottom w:w="0" w:type="dxa"/>
            <w:right w:w="0" w:type="dxa"/>
          </w:tblCellMar>
        </w:tblPrEx>
        <w:trPr>
          <w:trHeight w:val="485" w:hRule="atLeast"/>
        </w:trPr>
        <w:tc>
          <w:tcPr>
            <w:tcW w:w="283" w:type="dxa"/>
            <w:noWrap w:val="0"/>
            <w:vAlign w:val="top"/>
          </w:tcPr>
          <w:p w14:paraId="263ECADE">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566" w:type="dxa"/>
            <w:noWrap w:val="0"/>
            <w:vAlign w:val="top"/>
          </w:tcPr>
          <w:p w14:paraId="103B7877">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16</w:t>
            </w:r>
          </w:p>
        </w:tc>
        <w:tc>
          <w:tcPr>
            <w:tcW w:w="20" w:type="dxa"/>
            <w:noWrap w:val="0"/>
            <w:vAlign w:val="top"/>
          </w:tcPr>
          <w:p w14:paraId="62086F57">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1862" w:type="dxa"/>
            <w:noWrap w:val="0"/>
            <w:vAlign w:val="top"/>
          </w:tcPr>
          <w:p w14:paraId="5E70ADEE">
            <w:pPr>
              <w:keepNext w:val="0"/>
              <w:keepLines w:val="0"/>
              <w:pageBreakBefore w:val="0"/>
              <w:widowControl/>
              <w:kinsoku/>
              <w:wordWrap/>
              <w:overflowPunct/>
              <w:topLinePunct w:val="0"/>
              <w:autoSpaceDE/>
              <w:autoSpaceDN/>
              <w:bidi w:val="0"/>
              <w:adjustRightInd w:val="0"/>
              <w:snapToGrid w:val="0"/>
              <w:spacing w:before="0" w:beforeLines="50" w:line="30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2"/>
                <w:sz w:val="21"/>
                <w:szCs w:val="22"/>
                <w:lang w:val="en-US" w:eastAsia="en-US" w:bidi="ar-SA"/>
              </w:rPr>
              <w:t>生态环境</w:t>
            </w:r>
          </w:p>
          <w:p w14:paraId="6A2201DB">
            <w:pPr>
              <w:keepNext w:val="0"/>
              <w:keepLines w:val="0"/>
              <w:pageBreakBefore w:val="0"/>
              <w:widowControl/>
              <w:kinsoku/>
              <w:wordWrap/>
              <w:overflowPunct/>
              <w:topLinePunct w:val="0"/>
              <w:autoSpaceDE/>
              <w:autoSpaceDN/>
              <w:bidi w:val="0"/>
              <w:adjustRightInd w:val="0"/>
              <w:snapToGrid w:val="0"/>
              <w:spacing w:line="30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局东阳分局</w:t>
            </w:r>
          </w:p>
        </w:tc>
        <w:tc>
          <w:tcPr>
            <w:tcW w:w="20" w:type="dxa"/>
            <w:noWrap w:val="0"/>
            <w:vAlign w:val="top"/>
          </w:tcPr>
          <w:p w14:paraId="7976AFB4">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6065" w:type="dxa"/>
            <w:noWrap w:val="0"/>
            <w:vAlign w:val="top"/>
          </w:tcPr>
          <w:p w14:paraId="20974663">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86656079</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叶跃新</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tc>
      </w:tr>
    </w:tbl>
    <w:p w14:paraId="2682B748">
      <w:pPr>
        <w:keepNext w:val="0"/>
        <w:keepLines w:val="0"/>
        <w:pageBreakBefore w:val="0"/>
        <w:widowControl/>
        <w:kinsoku/>
        <w:wordWrap/>
        <w:overflowPunct/>
        <w:topLinePunct w:val="0"/>
        <w:autoSpaceDE/>
        <w:autoSpaceDN/>
        <w:bidi w:val="0"/>
        <w:adjustRightInd w:val="0"/>
        <w:snapToGrid w:val="0"/>
        <w:spacing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17</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商务局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86655867</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蔡偶良</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202C3D2C">
      <w:pPr>
        <w:keepNext w:val="0"/>
        <w:keepLines w:val="0"/>
        <w:pageBreakBefore w:val="0"/>
        <w:widowControl/>
        <w:kinsoku/>
        <w:wordWrap/>
        <w:overflowPunct/>
        <w:topLinePunct w:val="0"/>
        <w:autoSpaceDE/>
        <w:autoSpaceDN/>
        <w:bidi w:val="0"/>
        <w:adjustRightInd w:val="0"/>
        <w:snapToGrid w:val="0"/>
        <w:spacing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18</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民政局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86655182</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黄振刚</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77500F5F">
      <w:pPr>
        <w:keepNext w:val="0"/>
        <w:keepLines w:val="0"/>
        <w:pageBreakBefore w:val="0"/>
        <w:widowControl/>
        <w:kinsoku/>
        <w:wordWrap/>
        <w:overflowPunct/>
        <w:topLinePunct w:val="0"/>
        <w:autoSpaceDE/>
        <w:autoSpaceDN/>
        <w:bidi w:val="0"/>
        <w:adjustRightInd w:val="0"/>
        <w:snapToGrid w:val="0"/>
        <w:spacing w:before="0" w:beforeLines="50"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19</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气象局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86090986</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林</w:t>
      </w:r>
      <w:r>
        <w:rPr>
          <w:rFonts w:hint="eastAsia" w:asciiTheme="minorEastAsia" w:hAnsiTheme="minorEastAsia" w:eastAsiaTheme="minorEastAsia" w:cstheme="minorEastAsia"/>
          <w:color w:val="000000"/>
          <w:spacing w:val="15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翔</w:t>
      </w:r>
      <w:r>
        <w:rPr>
          <w:rFonts w:hint="eastAsia" w:asciiTheme="minorEastAsia" w:hAnsiTheme="minorEastAsia" w:eastAsiaTheme="minorEastAsia" w:cstheme="minorEastAsia"/>
          <w:color w:val="000000"/>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215FBDBE">
      <w:pPr>
        <w:keepNext w:val="0"/>
        <w:keepLines w:val="0"/>
        <w:pageBreakBefore w:val="0"/>
        <w:widowControl/>
        <w:kinsoku/>
        <w:wordWrap/>
        <w:overflowPunct/>
        <w:topLinePunct w:val="0"/>
        <w:autoSpaceDE/>
        <w:autoSpaceDN/>
        <w:bidi w:val="0"/>
        <w:adjustRightInd w:val="0"/>
        <w:snapToGrid w:val="0"/>
        <w:spacing w:line="420" w:lineRule="exact"/>
        <w:ind w:left="283"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20</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水务局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86655836</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张应东</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5E3502BC">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pacing w:val="1"/>
          <w:sz w:val="21"/>
          <w:szCs w:val="22"/>
          <w:lang w:val="en-US" w:eastAsia="en-US" w:bidi="ar-SA"/>
        </w:rPr>
      </w:pPr>
      <w:bookmarkStart w:id="18" w:name="br1_19"/>
      <w:bookmarkEnd w:id="18"/>
      <w:bookmarkStart w:id="19" w:name="br1_20"/>
      <w:bookmarkEnd w:id="19"/>
    </w:p>
    <w:p w14:paraId="002DFB34">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pacing w:val="1"/>
          <w:sz w:val="21"/>
          <w:szCs w:val="22"/>
          <w:lang w:val="en-US" w:eastAsia="en-US" w:bidi="ar-SA"/>
        </w:rPr>
      </w:pPr>
    </w:p>
    <w:p w14:paraId="63D883DA">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pacing w:val="1"/>
          <w:sz w:val="21"/>
          <w:szCs w:val="22"/>
          <w:lang w:val="en-US" w:eastAsia="en-US" w:bidi="ar-SA"/>
        </w:rPr>
      </w:pPr>
    </w:p>
    <w:p w14:paraId="11FC5093">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rPr>
        <w:drawing>
          <wp:anchor distT="0" distB="0" distL="114300" distR="114300" simplePos="0" relativeHeight="251661312" behindDoc="1" locked="0" layoutInCell="1" allowOverlap="1">
            <wp:simplePos x="0" y="0"/>
            <wp:positionH relativeFrom="page">
              <wp:posOffset>911225</wp:posOffset>
            </wp:positionH>
            <wp:positionV relativeFrom="page">
              <wp:posOffset>1038225</wp:posOffset>
            </wp:positionV>
            <wp:extent cx="5721985" cy="4856480"/>
            <wp:effectExtent l="0" t="0" r="12065" b="1270"/>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8"/>
                    <a:stretch>
                      <a:fillRect/>
                    </a:stretch>
                  </pic:blipFill>
                  <pic:spPr>
                    <a:xfrm>
                      <a:off x="0" y="0"/>
                      <a:ext cx="5721985" cy="4856480"/>
                    </a:xfrm>
                    <a:prstGeom prst="rect">
                      <a:avLst/>
                    </a:prstGeom>
                    <a:noFill/>
                    <a:ln>
                      <a:noFill/>
                    </a:ln>
                  </pic:spPr>
                </pic:pic>
              </a:graphicData>
            </a:graphic>
          </wp:anchor>
        </w:drawing>
      </w:r>
      <w:r>
        <w:rPr>
          <w:rFonts w:hint="eastAsia" w:asciiTheme="minorEastAsia" w:hAnsiTheme="minorEastAsia" w:eastAsiaTheme="minorEastAsia" w:cstheme="minorEastAsia"/>
          <w:color w:val="000000"/>
          <w:spacing w:val="1"/>
          <w:sz w:val="21"/>
          <w:szCs w:val="22"/>
          <w:lang w:val="en-US" w:eastAsia="en-US" w:bidi="ar-SA"/>
        </w:rPr>
        <w:t>21</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融媒体中心</w:t>
      </w:r>
      <w:r>
        <w:rPr>
          <w:rFonts w:hint="eastAsia" w:asciiTheme="minorEastAsia" w:hAnsiTheme="minorEastAsia" w:eastAsiaTheme="minorEastAsia" w:cstheme="minorEastAsia"/>
          <w:color w:val="000000"/>
          <w:spacing w:val="779"/>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89326977</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陈汉生</w:t>
      </w:r>
      <w:r>
        <w:rPr>
          <w:rFonts w:hint="eastAsia" w:asciiTheme="minorEastAsia" w:hAnsiTheme="minorEastAsia" w:eastAsiaTheme="minorEastAsia" w:cstheme="minorEastAsia"/>
          <w:color w:val="000000"/>
          <w:spacing w:val="-1"/>
          <w:sz w:val="21"/>
          <w:szCs w:val="22"/>
          <w:lang w:val="en-US" w:eastAsia="zh-CN" w:bidi="ar-SA"/>
        </w:rPr>
        <w:t xml:space="preserve">     </w:t>
      </w:r>
      <w:r>
        <w:rPr>
          <w:rFonts w:hint="eastAsia" w:asciiTheme="minorEastAsia" w:hAnsiTheme="minorEastAsia" w:eastAsiaTheme="minorEastAsia" w:cstheme="minorEastAsia"/>
          <w:color w:val="000000"/>
          <w:spacing w:val="-1"/>
          <w:sz w:val="21"/>
          <w:szCs w:val="22"/>
          <w:lang w:val="en-US" w:eastAsia="en-US" w:bidi="ar-SA"/>
        </w:rPr>
        <w:t>副台长</w:t>
      </w:r>
      <w:r>
        <w:rPr>
          <w:rFonts w:hint="eastAsia" w:asciiTheme="minorEastAsia" w:hAnsiTheme="minorEastAsia" w:eastAsiaTheme="minorEastAsia" w:cstheme="minorEastAsia"/>
          <w:color w:val="000000"/>
          <w:spacing w:val="550"/>
          <w:sz w:val="21"/>
          <w:szCs w:val="22"/>
          <w:lang w:val="en-US" w:eastAsia="en-US" w:bidi="ar-SA"/>
        </w:rPr>
        <w:t xml:space="preserve"> </w:t>
      </w:r>
    </w:p>
    <w:p w14:paraId="227E0833">
      <w:pPr>
        <w:keepNext w:val="0"/>
        <w:keepLines w:val="0"/>
        <w:pageBreakBefore w:val="0"/>
        <w:widowControl/>
        <w:kinsoku/>
        <w:wordWrap/>
        <w:overflowPunct/>
        <w:topLinePunct w:val="0"/>
        <w:autoSpaceDE/>
        <w:autoSpaceDN/>
        <w:bidi w:val="0"/>
        <w:adjustRightInd w:val="0"/>
        <w:snapToGrid w:val="0"/>
        <w:spacing w:before="0" w:beforeLines="50"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22</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供电</w:t>
      </w:r>
      <w:r>
        <w:rPr>
          <w:rFonts w:hint="eastAsia" w:asciiTheme="minorEastAsia" w:hAnsiTheme="minorEastAsia" w:eastAsiaTheme="minorEastAsia" w:cstheme="minorEastAsia"/>
          <w:color w:val="000000"/>
          <w:spacing w:val="-1"/>
          <w:sz w:val="21"/>
          <w:szCs w:val="22"/>
          <w:lang w:val="en-US" w:eastAsia="zh-CN" w:bidi="ar-SA"/>
        </w:rPr>
        <w:t xml:space="preserve">公司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86912605</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周立伟</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73216C6D">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23</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电信</w:t>
      </w:r>
      <w:r>
        <w:rPr>
          <w:rFonts w:hint="eastAsia" w:asciiTheme="minorEastAsia" w:hAnsiTheme="minorEastAsia" w:eastAsiaTheme="minorEastAsia" w:cstheme="minorEastAsia"/>
          <w:color w:val="000000"/>
          <w:spacing w:val="-1"/>
          <w:sz w:val="21"/>
          <w:szCs w:val="22"/>
          <w:lang w:val="en-US" w:eastAsia="zh-CN" w:bidi="ar-SA"/>
        </w:rPr>
        <w:t xml:space="preserve">公司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86623966</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金松明</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176682C2">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24</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粮食局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29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86016205</w:t>
      </w:r>
      <w:r>
        <w:rPr>
          <w:rFonts w:hint="eastAsia" w:asciiTheme="minorEastAsia" w:hAnsiTheme="minorEastAsia" w:eastAsiaTheme="minorEastAsia" w:cstheme="minorEastAsia"/>
          <w:color w:val="000000"/>
          <w:spacing w:val="519"/>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陈瑞能</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382"/>
          <w:sz w:val="21"/>
          <w:szCs w:val="22"/>
          <w:lang w:val="en-US" w:eastAsia="en-US" w:bidi="ar-SA"/>
        </w:rPr>
        <w:t xml:space="preserve"> </w:t>
      </w:r>
    </w:p>
    <w:p w14:paraId="1A5D9531">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25</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财政局</w:t>
      </w:r>
      <w:r>
        <w:rPr>
          <w:rFonts w:hint="eastAsia" w:asciiTheme="minorEastAsia" w:hAnsiTheme="minorEastAsia" w:eastAsiaTheme="minorEastAsia" w:cstheme="minorEastAsia"/>
          <w:color w:val="000000"/>
          <w:spacing w:val="1203"/>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86662625</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金旭东</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副局长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65DCAA5D">
      <w:pPr>
        <w:keepNext w:val="0"/>
        <w:keepLines w:val="0"/>
        <w:pageBreakBefore w:val="0"/>
        <w:widowControl/>
        <w:kinsoku/>
        <w:wordWrap/>
        <w:overflowPunct/>
        <w:topLinePunct w:val="0"/>
        <w:autoSpaceDE/>
        <w:autoSpaceDN/>
        <w:bidi w:val="0"/>
        <w:adjustRightInd w:val="0"/>
        <w:snapToGrid w:val="0"/>
        <w:spacing w:before="0" w:beforeLines="50"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26</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武警东阳市中队</w:t>
      </w:r>
      <w:r>
        <w:rPr>
          <w:rFonts w:hint="eastAsia" w:asciiTheme="minorEastAsia" w:hAnsiTheme="minorEastAsia" w:eastAsiaTheme="minorEastAsia" w:cstheme="minorEastAsia"/>
          <w:color w:val="000000"/>
          <w:spacing w:val="36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值班室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86684246</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胡哲鉴</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中队长</w:t>
      </w:r>
      <w:r>
        <w:rPr>
          <w:rFonts w:hint="eastAsia" w:asciiTheme="minorEastAsia" w:hAnsiTheme="minorEastAsia" w:eastAsiaTheme="minorEastAsia" w:cstheme="minorEastAsia"/>
          <w:color w:val="000000"/>
          <w:spacing w:val="-1"/>
          <w:sz w:val="21"/>
          <w:szCs w:val="22"/>
          <w:lang w:val="en-US" w:eastAsia="zh-CN" w:bidi="ar-SA"/>
        </w:rPr>
        <w:t xml:space="preserve">   </w:t>
      </w:r>
    </w:p>
    <w:p w14:paraId="48950130">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27</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移动东阳分公司</w:t>
      </w:r>
      <w:r>
        <w:rPr>
          <w:rFonts w:hint="eastAsia" w:asciiTheme="minorEastAsia" w:hAnsiTheme="minorEastAsia" w:eastAsiaTheme="minorEastAsia" w:cstheme="minorEastAsia"/>
          <w:color w:val="000000"/>
          <w:spacing w:val="36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86097002</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万越之</w:t>
      </w:r>
      <w:r>
        <w:rPr>
          <w:rFonts w:hint="eastAsia" w:asciiTheme="minorEastAsia" w:hAnsiTheme="minorEastAsia" w:eastAsiaTheme="minorEastAsia" w:cstheme="minorEastAsia"/>
          <w:color w:val="000000"/>
          <w:spacing w:val="430"/>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副总经理</w:t>
      </w:r>
      <w:r>
        <w:rPr>
          <w:rFonts w:hint="eastAsia" w:asciiTheme="minorEastAsia" w:hAnsiTheme="minorEastAsia" w:eastAsiaTheme="minorEastAsia" w:cstheme="minorEastAsia"/>
          <w:color w:val="000000"/>
          <w:sz w:val="21"/>
          <w:szCs w:val="22"/>
          <w:lang w:val="en-US" w:eastAsia="zh-CN" w:bidi="ar-SA"/>
        </w:rPr>
        <w:t xml:space="preserve">  </w:t>
      </w:r>
    </w:p>
    <w:p w14:paraId="2E84D6D0">
      <w:pPr>
        <w:keepNext w:val="0"/>
        <w:keepLines w:val="0"/>
        <w:pageBreakBefore w:val="0"/>
        <w:widowControl/>
        <w:kinsoku/>
        <w:wordWrap/>
        <w:overflowPunct/>
        <w:topLinePunct w:val="0"/>
        <w:autoSpaceDE/>
        <w:autoSpaceDN/>
        <w:bidi w:val="0"/>
        <w:adjustRightInd w:val="0"/>
        <w:snapToGrid w:val="0"/>
        <w:spacing w:before="0" w:beforeLines="50"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28</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联通东阳分公司</w:t>
      </w:r>
      <w:r>
        <w:rPr>
          <w:rFonts w:hint="eastAsia" w:asciiTheme="minorEastAsia" w:hAnsiTheme="minorEastAsia" w:eastAsiaTheme="minorEastAsia" w:cstheme="minorEastAsia"/>
          <w:color w:val="000000"/>
          <w:spacing w:val="36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86841553</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魏海龙</w:t>
      </w:r>
      <w:r>
        <w:rPr>
          <w:rFonts w:hint="eastAsia" w:asciiTheme="minorEastAsia" w:hAnsiTheme="minorEastAsia" w:eastAsiaTheme="minorEastAsia" w:cstheme="minorEastAsia"/>
          <w:color w:val="000000"/>
          <w:spacing w:val="430"/>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副总经理</w:t>
      </w:r>
      <w:r>
        <w:rPr>
          <w:rFonts w:hint="eastAsia" w:asciiTheme="minorEastAsia" w:hAnsiTheme="minorEastAsia" w:eastAsiaTheme="minorEastAsia" w:cstheme="minorEastAsia"/>
          <w:color w:val="000000"/>
          <w:sz w:val="21"/>
          <w:szCs w:val="22"/>
          <w:lang w:val="en-US" w:eastAsia="zh-CN" w:bidi="ar-SA"/>
        </w:rPr>
        <w:t xml:space="preserve">   </w:t>
      </w:r>
      <w:r>
        <w:rPr>
          <w:rFonts w:hint="eastAsia" w:asciiTheme="minorEastAsia" w:hAnsiTheme="minorEastAsia" w:eastAsiaTheme="minorEastAsia" w:cstheme="minorEastAsia"/>
          <w:color w:val="000000"/>
          <w:sz w:val="21"/>
          <w:szCs w:val="22"/>
          <w:lang w:val="en-US" w:eastAsia="en-US" w:bidi="ar-SA"/>
        </w:rPr>
        <w:t>0</w:t>
      </w:r>
    </w:p>
    <w:tbl>
      <w:tblPr>
        <w:tblStyle w:val="4"/>
        <w:tblW w:w="8959" w:type="dxa"/>
        <w:tblInd w:w="0" w:type="dxa"/>
        <w:tblLayout w:type="autofit"/>
        <w:tblCellMar>
          <w:top w:w="0" w:type="dxa"/>
          <w:left w:w="0" w:type="dxa"/>
          <w:bottom w:w="0" w:type="dxa"/>
          <w:right w:w="0" w:type="dxa"/>
        </w:tblCellMar>
      </w:tblPr>
      <w:tblGrid>
        <w:gridCol w:w="594"/>
        <w:gridCol w:w="21"/>
        <w:gridCol w:w="1955"/>
        <w:gridCol w:w="21"/>
        <w:gridCol w:w="6368"/>
      </w:tblGrid>
      <w:tr w14:paraId="782C30F7">
        <w:tblPrEx>
          <w:tblCellMar>
            <w:top w:w="0" w:type="dxa"/>
            <w:left w:w="0" w:type="dxa"/>
            <w:bottom w:w="0" w:type="dxa"/>
            <w:right w:w="0" w:type="dxa"/>
          </w:tblCellMar>
        </w:tblPrEx>
        <w:trPr>
          <w:trHeight w:val="539" w:hRule="atLeast"/>
        </w:trPr>
        <w:tc>
          <w:tcPr>
            <w:tcW w:w="594" w:type="dxa"/>
            <w:noWrap w:val="0"/>
            <w:vAlign w:val="top"/>
          </w:tcPr>
          <w:p w14:paraId="21E57FB0">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29</w:t>
            </w:r>
          </w:p>
        </w:tc>
        <w:tc>
          <w:tcPr>
            <w:tcW w:w="21" w:type="dxa"/>
            <w:noWrap w:val="0"/>
            <w:vAlign w:val="top"/>
          </w:tcPr>
          <w:p w14:paraId="70EA387D">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1955" w:type="dxa"/>
            <w:noWrap w:val="0"/>
            <w:vAlign w:val="top"/>
          </w:tcPr>
          <w:p w14:paraId="5F9955A0">
            <w:pPr>
              <w:keepNext w:val="0"/>
              <w:keepLines w:val="0"/>
              <w:pageBreakBefore w:val="0"/>
              <w:widowControl/>
              <w:kinsoku/>
              <w:wordWrap/>
              <w:overflowPunct/>
              <w:topLinePunct w:val="0"/>
              <w:autoSpaceDE/>
              <w:autoSpaceDN/>
              <w:bidi w:val="0"/>
              <w:adjustRightInd w:val="0"/>
              <w:snapToGrid w:val="0"/>
              <w:spacing w:line="28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2"/>
                <w:sz w:val="21"/>
                <w:szCs w:val="22"/>
                <w:lang w:val="en-US" w:eastAsia="en-US" w:bidi="ar-SA"/>
              </w:rPr>
              <w:t>电力设施专业抢</w:t>
            </w:r>
          </w:p>
          <w:p w14:paraId="13CD0C81">
            <w:pPr>
              <w:keepNext w:val="0"/>
              <w:keepLines w:val="0"/>
              <w:pageBreakBefore w:val="0"/>
              <w:widowControl/>
              <w:kinsoku/>
              <w:wordWrap/>
              <w:overflowPunct/>
              <w:topLinePunct w:val="0"/>
              <w:autoSpaceDE/>
              <w:autoSpaceDN/>
              <w:bidi w:val="0"/>
              <w:adjustRightInd w:val="0"/>
              <w:snapToGrid w:val="0"/>
              <w:spacing w:line="28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修队</w:t>
            </w:r>
          </w:p>
        </w:tc>
        <w:tc>
          <w:tcPr>
            <w:tcW w:w="21" w:type="dxa"/>
            <w:noWrap w:val="0"/>
            <w:vAlign w:val="top"/>
          </w:tcPr>
          <w:p w14:paraId="1FDB8AFF">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6368" w:type="dxa"/>
            <w:noWrap w:val="0"/>
            <w:vAlign w:val="top"/>
          </w:tcPr>
          <w:p w14:paraId="72076EAC">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值班室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86912000</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杜</w:t>
            </w:r>
            <w:r>
              <w:rPr>
                <w:rFonts w:hint="eastAsia" w:asciiTheme="minorEastAsia" w:hAnsiTheme="minorEastAsia" w:eastAsiaTheme="minorEastAsia" w:cstheme="minorEastAsia"/>
                <w:color w:val="000000"/>
                <w:spacing w:val="155"/>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剑</w:t>
            </w:r>
            <w:r>
              <w:rPr>
                <w:rFonts w:hint="eastAsia" w:asciiTheme="minorEastAsia" w:hAnsiTheme="minorEastAsia" w:eastAsiaTheme="minorEastAsia" w:cstheme="minorEastAsia"/>
                <w:color w:val="000000"/>
                <w:spacing w:val="640"/>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队长</w:t>
            </w:r>
            <w:r>
              <w:rPr>
                <w:rFonts w:hint="eastAsia" w:asciiTheme="minorEastAsia" w:hAnsiTheme="minorEastAsia" w:eastAsiaTheme="minorEastAsia" w:cstheme="minorEastAsia"/>
                <w:color w:val="000000"/>
                <w:spacing w:val="1"/>
                <w:sz w:val="21"/>
                <w:szCs w:val="22"/>
                <w:lang w:val="en-US" w:eastAsia="zh-CN" w:bidi="ar-SA"/>
              </w:rPr>
              <w:t xml:space="preserve">   </w:t>
            </w:r>
          </w:p>
        </w:tc>
      </w:tr>
    </w:tbl>
    <w:p w14:paraId="6130666F">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30</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供销总社</w:t>
      </w:r>
      <w:r>
        <w:rPr>
          <w:rFonts w:hint="eastAsia" w:asciiTheme="minorEastAsia" w:hAnsiTheme="minorEastAsia" w:eastAsiaTheme="minorEastAsia" w:cstheme="minorEastAsia"/>
          <w:color w:val="000000"/>
          <w:spacing w:val="991"/>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办公室</w:t>
      </w:r>
      <w:r>
        <w:rPr>
          <w:rFonts w:hint="eastAsia" w:asciiTheme="minorEastAsia" w:hAnsiTheme="minorEastAsia" w:eastAsiaTheme="minorEastAsia" w:cstheme="minorEastAsia"/>
          <w:color w:val="000000"/>
          <w:spacing w:val="39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89325976</w:t>
      </w:r>
      <w:r>
        <w:rPr>
          <w:rFonts w:hint="eastAsia" w:asciiTheme="minorEastAsia" w:hAnsiTheme="minorEastAsia" w:eastAsiaTheme="minorEastAsia" w:cstheme="minorEastAsia"/>
          <w:color w:val="000000"/>
          <w:spacing w:val="41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吴荣明</w:t>
      </w:r>
      <w:r>
        <w:rPr>
          <w:rFonts w:hint="eastAsia" w:asciiTheme="minorEastAsia" w:hAnsiTheme="minorEastAsia" w:eastAsiaTheme="minorEastAsia" w:cstheme="minorEastAsia"/>
          <w:color w:val="000000"/>
          <w:spacing w:val="536"/>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副主任</w:t>
      </w:r>
      <w:r>
        <w:rPr>
          <w:rFonts w:hint="eastAsia" w:asciiTheme="minorEastAsia" w:hAnsiTheme="minorEastAsia" w:eastAsiaTheme="minorEastAsia" w:cstheme="minorEastAsia"/>
          <w:color w:val="000000"/>
          <w:spacing w:val="-1"/>
          <w:sz w:val="21"/>
          <w:szCs w:val="22"/>
          <w:lang w:val="en-US" w:eastAsia="zh-CN" w:bidi="ar-SA"/>
        </w:rPr>
        <w:t xml:space="preserve">   </w:t>
      </w:r>
      <w:bookmarkStart w:id="20" w:name="_GoBack"/>
      <w:bookmarkEnd w:id="20"/>
    </w:p>
    <w:p w14:paraId="0C19EC77">
      <w:pPr>
        <w:keepNext w:val="0"/>
        <w:keepLines w:val="0"/>
        <w:pageBreakBefore w:val="0"/>
        <w:widowControl/>
        <w:kinsoku/>
        <w:wordWrap/>
        <w:overflowPunct/>
        <w:topLinePunct w:val="0"/>
        <w:autoSpaceDE/>
        <w:autoSpaceDN/>
        <w:bidi w:val="0"/>
        <w:adjustRightInd w:val="0"/>
        <w:snapToGrid w:val="0"/>
        <w:spacing w:before="0" w:beforeLines="50" w:line="280" w:lineRule="exact"/>
        <w:ind w:left="584"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2"/>
          <w:sz w:val="21"/>
          <w:szCs w:val="22"/>
          <w:lang w:val="en-US" w:eastAsia="en-US" w:bidi="ar-SA"/>
        </w:rPr>
        <w:t>矿山事故应急救</w:t>
      </w:r>
    </w:p>
    <w:p w14:paraId="17770C78">
      <w:pPr>
        <w:keepNext w:val="0"/>
        <w:keepLines w:val="0"/>
        <w:pageBreakBefore w:val="0"/>
        <w:widowControl/>
        <w:kinsoku/>
        <w:wordWrap/>
        <w:overflowPunct/>
        <w:topLinePunct w:val="0"/>
        <w:autoSpaceDE/>
        <w:autoSpaceDN/>
        <w:bidi w:val="0"/>
        <w:adjustRightInd w:val="0"/>
        <w:snapToGrid w:val="0"/>
        <w:spacing w:line="28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31</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pacing w:val="12"/>
          <w:sz w:val="21"/>
          <w:szCs w:val="22"/>
          <w:lang w:val="en-US" w:eastAsia="en-US" w:bidi="ar-SA"/>
        </w:rPr>
        <w:t>援指挥中心（市</w:t>
      </w:r>
      <w:r>
        <w:rPr>
          <w:rFonts w:hint="eastAsia" w:asciiTheme="minorEastAsia" w:hAnsiTheme="minorEastAsia" w:eastAsiaTheme="minorEastAsia" w:cstheme="minorEastAsia"/>
          <w:color w:val="000000"/>
          <w:spacing w:val="1348"/>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86655635</w:t>
      </w:r>
    </w:p>
    <w:p w14:paraId="6F68A62F">
      <w:pPr>
        <w:keepNext w:val="0"/>
        <w:keepLines w:val="0"/>
        <w:pageBreakBefore w:val="0"/>
        <w:widowControl/>
        <w:kinsoku/>
        <w:wordWrap/>
        <w:overflowPunct/>
        <w:topLinePunct w:val="0"/>
        <w:autoSpaceDE/>
        <w:autoSpaceDN/>
        <w:bidi w:val="0"/>
        <w:adjustRightInd w:val="0"/>
        <w:snapToGrid w:val="0"/>
        <w:spacing w:line="280" w:lineRule="exact"/>
        <w:ind w:left="586"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应急管理局）</w:t>
      </w:r>
    </w:p>
    <w:tbl>
      <w:tblPr>
        <w:tblStyle w:val="4"/>
        <w:tblW w:w="0" w:type="auto"/>
        <w:tblInd w:w="0" w:type="dxa"/>
        <w:tblLayout w:type="autofit"/>
        <w:tblCellMar>
          <w:top w:w="0" w:type="dxa"/>
          <w:left w:w="0" w:type="dxa"/>
          <w:bottom w:w="0" w:type="dxa"/>
          <w:right w:w="0" w:type="dxa"/>
        </w:tblCellMar>
      </w:tblPr>
      <w:tblGrid>
        <w:gridCol w:w="566"/>
        <w:gridCol w:w="20"/>
        <w:gridCol w:w="2981"/>
        <w:gridCol w:w="240"/>
        <w:gridCol w:w="392"/>
      </w:tblGrid>
      <w:tr w14:paraId="2DC40291">
        <w:tblPrEx>
          <w:tblCellMar>
            <w:top w:w="0" w:type="dxa"/>
            <w:left w:w="0" w:type="dxa"/>
            <w:bottom w:w="0" w:type="dxa"/>
            <w:right w:w="0" w:type="dxa"/>
          </w:tblCellMar>
        </w:tblPrEx>
        <w:trPr>
          <w:trHeight w:val="491" w:hRule="atLeast"/>
        </w:trPr>
        <w:tc>
          <w:tcPr>
            <w:tcW w:w="566" w:type="dxa"/>
            <w:noWrap w:val="0"/>
            <w:vAlign w:val="top"/>
          </w:tcPr>
          <w:p w14:paraId="431BB84E">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32</w:t>
            </w:r>
          </w:p>
        </w:tc>
        <w:tc>
          <w:tcPr>
            <w:tcW w:w="20" w:type="dxa"/>
            <w:noWrap w:val="0"/>
            <w:vAlign w:val="top"/>
          </w:tcPr>
          <w:p w14:paraId="626C4A2D">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2981" w:type="dxa"/>
            <w:noWrap w:val="0"/>
            <w:vAlign w:val="top"/>
          </w:tcPr>
          <w:p w14:paraId="29492DAC">
            <w:pPr>
              <w:keepNext w:val="0"/>
              <w:keepLines w:val="0"/>
              <w:pageBreakBefore w:val="0"/>
              <w:widowControl/>
              <w:kinsoku/>
              <w:wordWrap/>
              <w:overflowPunct/>
              <w:topLinePunct w:val="0"/>
              <w:autoSpaceDE/>
              <w:autoSpaceDN/>
              <w:bidi w:val="0"/>
              <w:adjustRightInd w:val="0"/>
              <w:snapToGrid w:val="0"/>
              <w:spacing w:before="0" w:beforeLines="50" w:line="24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市</w:t>
            </w:r>
            <w:r>
              <w:rPr>
                <w:rFonts w:hint="eastAsia" w:asciiTheme="minorEastAsia" w:hAnsiTheme="minorEastAsia" w:eastAsiaTheme="minorEastAsia" w:cstheme="minorEastAsia"/>
                <w:color w:val="000000"/>
                <w:spacing w:val="-3"/>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公</w:t>
            </w:r>
            <w:r>
              <w:rPr>
                <w:rFonts w:hint="eastAsia" w:asciiTheme="minorEastAsia" w:hAnsiTheme="minorEastAsia" w:eastAsiaTheme="minorEastAsia" w:cstheme="minorEastAsia"/>
                <w:color w:val="000000"/>
                <w:spacing w:val="1"/>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安</w:t>
            </w:r>
            <w:r>
              <w:rPr>
                <w:rFonts w:hint="eastAsia" w:asciiTheme="minorEastAsia" w:hAnsiTheme="minorEastAsia" w:eastAsiaTheme="minorEastAsia" w:cstheme="minorEastAsia"/>
                <w:color w:val="000000"/>
                <w:spacing w:val="-3"/>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局</w:t>
            </w:r>
            <w:r>
              <w:rPr>
                <w:rFonts w:hint="eastAsia" w:asciiTheme="minorEastAsia" w:hAnsiTheme="minorEastAsia" w:eastAsiaTheme="minorEastAsia" w:cstheme="minorEastAsia"/>
                <w:color w:val="000000"/>
                <w:spacing w:val="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“110”</w:t>
            </w:r>
          </w:p>
          <w:p w14:paraId="1C9CBFF1">
            <w:pPr>
              <w:keepNext w:val="0"/>
              <w:keepLines w:val="0"/>
              <w:pageBreakBefore w:val="0"/>
              <w:widowControl/>
              <w:kinsoku/>
              <w:wordWrap/>
              <w:overflowPunct/>
              <w:topLinePunct w:val="0"/>
              <w:autoSpaceDE/>
              <w:autoSpaceDN/>
              <w:bidi w:val="0"/>
              <w:adjustRightInd w:val="0"/>
              <w:snapToGrid w:val="0"/>
              <w:spacing w:line="24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z w:val="21"/>
                <w:szCs w:val="22"/>
                <w:lang w:val="en-US" w:eastAsia="en-US" w:bidi="ar-SA"/>
              </w:rPr>
              <w:t>指挥中心</w:t>
            </w:r>
          </w:p>
        </w:tc>
        <w:tc>
          <w:tcPr>
            <w:tcW w:w="240" w:type="dxa"/>
            <w:noWrap w:val="0"/>
            <w:vAlign w:val="top"/>
          </w:tcPr>
          <w:p w14:paraId="75B4FA9E">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p>
        </w:tc>
        <w:tc>
          <w:tcPr>
            <w:tcW w:w="392" w:type="dxa"/>
            <w:noWrap w:val="0"/>
            <w:vAlign w:val="top"/>
          </w:tcPr>
          <w:p w14:paraId="5AC2FA59">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2"/>
                <w:sz w:val="21"/>
                <w:szCs w:val="22"/>
                <w:lang w:val="en-US" w:eastAsia="en-US" w:bidi="ar-SA"/>
              </w:rPr>
              <w:t>110</w:t>
            </w:r>
          </w:p>
        </w:tc>
      </w:tr>
    </w:tbl>
    <w:p w14:paraId="190ACE2F">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33</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火警报警</w:t>
      </w:r>
      <w:r>
        <w:rPr>
          <w:rFonts w:hint="eastAsia" w:asciiTheme="minorEastAsia" w:hAnsiTheme="minorEastAsia" w:eastAsiaTheme="minorEastAsia" w:cstheme="minorEastAsia"/>
          <w:color w:val="000000"/>
          <w:spacing w:val="2330"/>
          <w:sz w:val="21"/>
          <w:szCs w:val="22"/>
          <w:lang w:val="en-US" w:eastAsia="en-US" w:bidi="ar-SA"/>
        </w:rPr>
        <w:t xml:space="preserve"> </w:t>
      </w:r>
      <w:r>
        <w:rPr>
          <w:rFonts w:hint="eastAsia" w:asciiTheme="minorEastAsia" w:hAnsiTheme="minorEastAsia" w:eastAsiaTheme="minorEastAsia" w:cstheme="minorEastAsia"/>
          <w:color w:val="000000"/>
          <w:spacing w:val="-2"/>
          <w:sz w:val="21"/>
          <w:szCs w:val="22"/>
          <w:lang w:val="en-US" w:eastAsia="en-US" w:bidi="ar-SA"/>
        </w:rPr>
        <w:t>119</w:t>
      </w:r>
    </w:p>
    <w:p w14:paraId="2DB4AFDD">
      <w:pPr>
        <w:keepNext w:val="0"/>
        <w:keepLines w:val="0"/>
        <w:pageBreakBefore w:val="0"/>
        <w:widowControl/>
        <w:kinsoku/>
        <w:wordWrap/>
        <w:overflowPunct/>
        <w:topLinePunct w:val="0"/>
        <w:autoSpaceDE/>
        <w:autoSpaceDN/>
        <w:bidi w:val="0"/>
        <w:adjustRightInd w:val="0"/>
        <w:snapToGrid w:val="0"/>
        <w:spacing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34</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交通事故报警</w:t>
      </w:r>
      <w:r>
        <w:rPr>
          <w:rFonts w:hint="eastAsia" w:asciiTheme="minorEastAsia" w:hAnsiTheme="minorEastAsia" w:eastAsiaTheme="minorEastAsia" w:cstheme="minorEastAsia"/>
          <w:color w:val="000000"/>
          <w:spacing w:val="190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122</w:t>
      </w:r>
    </w:p>
    <w:p w14:paraId="4B3F42CF">
      <w:pPr>
        <w:keepNext w:val="0"/>
        <w:keepLines w:val="0"/>
        <w:pageBreakBefore w:val="0"/>
        <w:widowControl/>
        <w:kinsoku/>
        <w:wordWrap/>
        <w:overflowPunct/>
        <w:topLinePunct w:val="0"/>
        <w:autoSpaceDE/>
        <w:autoSpaceDN/>
        <w:bidi w:val="0"/>
        <w:adjustRightInd w:val="0"/>
        <w:snapToGrid w:val="0"/>
        <w:spacing w:before="0" w:beforeLines="50" w:line="420" w:lineRule="exact"/>
        <w:ind w:left="0" w:right="0" w:firstLine="0"/>
        <w:jc w:val="left"/>
        <w:textAlignment w:val="auto"/>
        <w:rPr>
          <w:rFonts w:hint="eastAsia" w:asciiTheme="minorEastAsia" w:hAnsiTheme="minorEastAsia" w:eastAsiaTheme="minorEastAsia" w:cstheme="minorEastAsia"/>
          <w:color w:val="000000"/>
          <w:sz w:val="21"/>
          <w:szCs w:val="22"/>
          <w:lang w:val="en-US" w:eastAsia="en-US" w:bidi="ar-SA"/>
        </w:rPr>
      </w:pPr>
      <w:r>
        <w:rPr>
          <w:rFonts w:hint="eastAsia" w:asciiTheme="minorEastAsia" w:hAnsiTheme="minorEastAsia" w:eastAsiaTheme="minorEastAsia" w:cstheme="minorEastAsia"/>
          <w:color w:val="000000"/>
          <w:spacing w:val="1"/>
          <w:sz w:val="21"/>
          <w:szCs w:val="22"/>
          <w:lang w:val="en-US" w:eastAsia="en-US" w:bidi="ar-SA"/>
        </w:rPr>
        <w:t>35</w:t>
      </w:r>
      <w:r>
        <w:rPr>
          <w:rFonts w:hint="eastAsia" w:asciiTheme="minorEastAsia" w:hAnsiTheme="minorEastAsia" w:eastAsiaTheme="minorEastAsia" w:cstheme="minorEastAsia"/>
          <w:color w:val="000000"/>
          <w:spacing w:val="322"/>
          <w:sz w:val="21"/>
          <w:szCs w:val="22"/>
          <w:lang w:val="en-US" w:eastAsia="en-US" w:bidi="ar-SA"/>
        </w:rPr>
        <w:t xml:space="preserve"> </w:t>
      </w:r>
      <w:r>
        <w:rPr>
          <w:rFonts w:hint="eastAsia" w:asciiTheme="minorEastAsia" w:hAnsiTheme="minorEastAsia" w:eastAsiaTheme="minorEastAsia" w:cstheme="minorEastAsia"/>
          <w:color w:val="000000"/>
          <w:sz w:val="21"/>
          <w:szCs w:val="22"/>
          <w:lang w:val="en-US" w:eastAsia="en-US" w:bidi="ar-SA"/>
        </w:rPr>
        <w:t>医疗急救中心</w:t>
      </w:r>
      <w:r>
        <w:rPr>
          <w:rFonts w:hint="eastAsia" w:asciiTheme="minorEastAsia" w:hAnsiTheme="minorEastAsia" w:eastAsiaTheme="minorEastAsia" w:cstheme="minorEastAsia"/>
          <w:color w:val="000000"/>
          <w:spacing w:val="1902"/>
          <w:sz w:val="21"/>
          <w:szCs w:val="22"/>
          <w:lang w:val="en-US" w:eastAsia="en-US" w:bidi="ar-SA"/>
        </w:rPr>
        <w:t xml:space="preserve"> </w:t>
      </w:r>
      <w:r>
        <w:rPr>
          <w:rFonts w:hint="eastAsia" w:asciiTheme="minorEastAsia" w:hAnsiTheme="minorEastAsia" w:eastAsiaTheme="minorEastAsia" w:cstheme="minorEastAsia"/>
          <w:color w:val="000000"/>
          <w:spacing w:val="1"/>
          <w:sz w:val="21"/>
          <w:szCs w:val="22"/>
          <w:lang w:val="en-US" w:eastAsia="en-US" w:bidi="ar-SA"/>
        </w:rPr>
        <w:t>120</w:t>
      </w:r>
    </w:p>
    <w:sectPr>
      <w:pgSz w:w="11900" w:h="16820"/>
      <w:pgMar w:top="1587" w:right="1587" w:bottom="1587" w:left="1587" w:header="720" w:footer="1247" w:gutter="0"/>
      <w:pgNumType w:start="1"/>
      <w:cols w:space="0" w:num="1"/>
      <w:rtlGutter w:val="0"/>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GHUNHQ+FZXBSJW--GB1-0">
    <w:altName w:val="Palatino Linotype"/>
    <w:panose1 w:val="02000500000000000000"/>
    <w:charset w:val="01"/>
    <w:family w:val="auto"/>
    <w:pitch w:val="default"/>
    <w:sig w:usb0="00000000" w:usb1="00000000" w:usb2="01010101" w:usb3="01010101" w:csb0="01010101" w:csb1="01010101"/>
  </w:font>
  <w:font w:name="方正小标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PPGEOA+TimesNewRomanPSMT">
    <w:altName w:val="Palatino Linotype"/>
    <w:panose1 w:val="02000500000000000000"/>
    <w:charset w:val="01"/>
    <w:family w:val="auto"/>
    <w:pitch w:val="default"/>
    <w:sig w:usb0="00000000" w:usb1="00000000" w:usb2="01010101" w:usb3="01010101" w:csb0="01010101" w:csb1="01010101"/>
  </w:font>
  <w:font w:name="Palatino Linotype">
    <w:panose1 w:val="02040502050505030304"/>
    <w:charset w:val="00"/>
    <w:family w:val="auto"/>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34C26">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FBD0B">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5BCB4D7">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QsZs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ThCxmyQEAAJkDAAAOAAAAAAAAAAEAIAAAAB4BAABkcnMvZTJvRG9j&#10;LnhtbFBLBQYAAAAABgAGAFkBAABZBQAAAAA=&#10;">
              <v:fill on="f" focussize="0,0"/>
              <v:stroke on="f"/>
              <v:imagedata o:title=""/>
              <o:lock v:ext="edit" aspectratio="f"/>
              <v:textbox inset="0mm,0mm,0mm,0mm" style="mso-fit-shape-to-text:t;">
                <w:txbxContent>
                  <w:p w14:paraId="05BCB4D7">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noPunctuationKerning w:val="1"/>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B3E"/>
    <w:rsid w:val="00A77B3E"/>
    <w:rsid w:val="00CA2A55"/>
    <w:rsid w:val="07DA6FF6"/>
    <w:rsid w:val="132E1A7A"/>
    <w:rsid w:val="13641699"/>
    <w:rsid w:val="1444036E"/>
    <w:rsid w:val="1D8B2FE8"/>
    <w:rsid w:val="23A37747"/>
    <w:rsid w:val="38A56B6E"/>
    <w:rsid w:val="39BF6C17"/>
    <w:rsid w:val="3AC57D50"/>
    <w:rsid w:val="437B7572"/>
    <w:rsid w:val="4487164A"/>
    <w:rsid w:val="4C3119FC"/>
    <w:rsid w:val="538402B4"/>
    <w:rsid w:val="5D284CB5"/>
    <w:rsid w:val="5F5979FB"/>
    <w:rsid w:val="66455F6E"/>
    <w:rsid w:val="66F16216"/>
    <w:rsid w:val="75667E68"/>
    <w:rsid w:val="7FD3F6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20</Pages>
  <Words>0</Words>
  <Characters>0</Characters>
  <Lines>1</Lines>
  <Paragraphs>1</Paragraphs>
  <TotalTime>3</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2021-12-02T09:26:00Z</dcterms:created>
  <dc:creator>Administrator.BF-20190319MIHC</dc:creator>
  <cp:lastModifiedBy>dd</cp:lastModifiedBy>
  <cp:lastPrinted>2021-12-08T12:08:00Z</cp:lastPrinted>
  <dcterms:modified xsi:type="dcterms:W3CDTF">2026-02-06T03:24:03Z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F1C9BDE9543146A7AAEC33E400510EDD_13</vt:lpwstr>
  </property>
</Properties>
</file>